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4D" w:rsidRDefault="00086CCD" w:rsidP="009C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CD">
        <w:rPr>
          <w:rFonts w:ascii="Times New Roman" w:hAnsi="Times New Roman" w:cs="Times New Roman"/>
          <w:b/>
          <w:sz w:val="28"/>
          <w:szCs w:val="28"/>
        </w:rPr>
        <w:t>Отчет о работе Общественного совета</w:t>
      </w:r>
    </w:p>
    <w:p w:rsidR="009047A9" w:rsidRDefault="00086CCD" w:rsidP="009C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CD">
        <w:rPr>
          <w:rFonts w:ascii="Times New Roman" w:hAnsi="Times New Roman" w:cs="Times New Roman"/>
          <w:b/>
          <w:sz w:val="28"/>
          <w:szCs w:val="28"/>
        </w:rPr>
        <w:t xml:space="preserve"> при Министерстве </w:t>
      </w:r>
      <w:r w:rsidR="009C184D">
        <w:rPr>
          <w:rFonts w:ascii="Times New Roman" w:hAnsi="Times New Roman" w:cs="Times New Roman"/>
          <w:b/>
          <w:sz w:val="28"/>
          <w:szCs w:val="28"/>
        </w:rPr>
        <w:t>строительства</w:t>
      </w:r>
      <w:r w:rsidRPr="00086CCD">
        <w:rPr>
          <w:rFonts w:ascii="Times New Roman" w:hAnsi="Times New Roman" w:cs="Times New Roman"/>
          <w:b/>
          <w:sz w:val="28"/>
          <w:szCs w:val="28"/>
        </w:rPr>
        <w:t xml:space="preserve"> Камчатского края</w:t>
      </w:r>
      <w:r w:rsidR="009C184D">
        <w:rPr>
          <w:rFonts w:ascii="Times New Roman" w:hAnsi="Times New Roman" w:cs="Times New Roman"/>
          <w:b/>
          <w:sz w:val="28"/>
          <w:szCs w:val="28"/>
        </w:rPr>
        <w:t xml:space="preserve"> за 201</w:t>
      </w:r>
      <w:r w:rsidR="001530B5" w:rsidRPr="001530B5">
        <w:rPr>
          <w:rFonts w:ascii="Times New Roman" w:hAnsi="Times New Roman" w:cs="Times New Roman"/>
          <w:b/>
          <w:sz w:val="28"/>
          <w:szCs w:val="28"/>
        </w:rPr>
        <w:t>5</w:t>
      </w:r>
      <w:r w:rsidR="009C184D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86CCD" w:rsidRDefault="00086CCD" w:rsidP="009C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CCD" w:rsidRPr="00A07C60" w:rsidRDefault="009C184D" w:rsidP="00086C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9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A3E4910" wp14:editId="6285B1FE">
            <wp:simplePos x="0" y="0"/>
            <wp:positionH relativeFrom="column">
              <wp:posOffset>146685</wp:posOffset>
            </wp:positionH>
            <wp:positionV relativeFrom="paragraph">
              <wp:posOffset>1000125</wp:posOffset>
            </wp:positionV>
            <wp:extent cx="6210300" cy="2647950"/>
            <wp:effectExtent l="0" t="0" r="19050" b="1905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совет при Министерстве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r w:rsidR="0008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(далее – Общественный совет) образован в</w:t>
      </w:r>
      <w:r w:rsidR="00086CCD" w:rsidRPr="0008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постановлением Правительства Камчатского края от 23.08.2013 № 370-П «Об общественных советах при исполнительных органах государственной власти Камчатского края»</w:t>
      </w:r>
      <w:r w:rsidR="0008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42E41" w:rsidRDefault="00642E41" w:rsidP="00DB3F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FA9" w:rsidRDefault="00086CCD" w:rsidP="00DB3F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Общественном совете и его состав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от 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50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>106.</w:t>
      </w:r>
      <w:r w:rsidR="00DB3FA9" w:rsidRPr="00DB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FA9" w:rsidRDefault="005D56A9" w:rsidP="009C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6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Общественного совета</w:t>
      </w:r>
      <w:r w:rsidR="006C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3342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</w:t>
      </w:r>
      <w:r w:rsidR="009C1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50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C2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6943" w:rsidRDefault="00DB3FA9" w:rsidP="009C18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работы Общественного совета за 2015 год на заключительном заседании принято решение оставить состав Общественного совета без изменений:</w:t>
      </w:r>
    </w:p>
    <w:p w:rsidR="00B1259A" w:rsidRDefault="00B1259A" w:rsidP="001C3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ADBC16" wp14:editId="061576A2">
                <wp:simplePos x="0" y="0"/>
                <wp:positionH relativeFrom="column">
                  <wp:posOffset>80010</wp:posOffset>
                </wp:positionH>
                <wp:positionV relativeFrom="paragraph">
                  <wp:posOffset>645160</wp:posOffset>
                </wp:positionV>
                <wp:extent cx="180975" cy="123825"/>
                <wp:effectExtent l="38100" t="38100" r="9525" b="66675"/>
                <wp:wrapNone/>
                <wp:docPr id="6" name="4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star4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6" o:spid="_x0000_s1026" type="#_x0000_t187" style="position:absolute;margin-left:6.3pt;margin-top:50.8pt;width:14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T+lgIAABEFAAAOAAAAZHJzL2Uyb0RvYy54bWysVEtu2zAQ3RfoHQjuE0munDhG5MCN4aJA&#10;kARIiqzHFGUJoEiWpC2nF+iyVwmCBgUKtGdQbtQhJefXrIp6MZ7R/DiPb3h4tKkFWXNjKyUzmuzG&#10;lHDJVF7JZUY/Xc53RpRYBzIHoSTP6DW39Gjy9s1ho8d8oEolcm4IFpF23OiMls7pcRRZVvIa7K7S&#10;XKKzUKYGh6ZZRrmBBqvXIhrE8V7UKJNroxi3Fr/OOiedhPpFwZk7KwrLHREZxbO5IE2QCy+jySGM&#10;lwZ0WbH+GPAPp6ihktj0odQMHJCVqf4qVVfMKKsKt8tUHamiqBgPM+A0SfximosSNA+zIDhWP8Bk&#10;/19Zdro+N6TKM7pHiYQaryjdaX+2v9tf7d39V5Q3999I+6O9be9Qfm9vyJ4HrdF2jLkX+tz0lkXV&#10;I7ApTO3/cTayCUBfPwDNN44w/JiM4oP9ISUMXcng3Wgw9DWjx2RtrPvAVU28klFkkEkDvrA+sa6L&#10;3cb4ZlaJKp9XQgTDLBfHwpA14KWn81HyftaXfxYmJGkyOhimMRKDAZKvEOBQrTXCYeWSEhBLZDVz&#10;JvR+lm1faRKal5DzrvUwxt+2cxcehnxWx08xA1t2KcHVpwjp6/FA4n5oj3qHs9cWKr/GyzOqY7XV&#10;bF5htROw7hwM0hjnwtV0ZygKoXBY1WuUlMp8ee27j0d2oZeSBtcCgfi8AsMpER8l8u4gSVO/R8FI&#10;h/sDNMxTz+KpR67qY4WXkOAjoFlQfbwTW7Uwqr7CDZ76rugCybB3B3lvHLtuXfENYHw6DWG4Oxrc&#10;ibzQzBf3OHkcLzdXYHTPGYdkO1XbFYLxC+Z0sT5TqunKqaIKtHrEFa/KG7h34dL6N8Iv9lM7RD2+&#10;ZJM/AAAA//8DAFBLAwQUAAYACAAAACEAKode8twAAAAJAQAADwAAAGRycy9kb3ducmV2LnhtbExP&#10;y07DMBC8I/EP1iJxo06qKqAQp6JIiAOnliLEbRsvcYofUeykga9ne4LTzmhGszPVenZWTDTELngF&#10;+SIDQb4JuvOtgv3r080diJjQa7TBk4JvirCuLy8qLHU4+S1Nu9QKDvGxRAUmpb6UMjaGHMZF6Mmz&#10;9hkGh4np0Eo94InDnZXLLCukw87zB4M9PRpqvnajU7DavqORP/b4Udxu+uPmeRrfXialrq/mh3sQ&#10;ieb0Z4Zzfa4ONXc6hNHrKCzzZcFOvlnOgA2rPAdxOAsMZF3J/wvqXwAAAP//AwBQSwECLQAUAAYA&#10;CAAAACEAtoM4kv4AAADhAQAAEwAAAAAAAAAAAAAAAAAAAAAAW0NvbnRlbnRfVHlwZXNdLnhtbFBL&#10;AQItABQABgAIAAAAIQA4/SH/1gAAAJQBAAALAAAAAAAAAAAAAAAAAC8BAABfcmVscy8ucmVsc1BL&#10;AQItABQABgAIAAAAIQDxaYT+lgIAABEFAAAOAAAAAAAAAAAAAAAAAC4CAABkcnMvZTJvRG9jLnht&#10;bFBLAQItABQABgAIAAAAIQAqh17y3AAAAAkBAAAPAAAAAAAAAAAAAAAAAPAEAABkcnMvZG93bnJl&#10;di54bWxQSwUGAAAAAAQABADzAAAA+QUAAAAA&#10;" fillcolor="#4f81bd" strokecolor="#385d8a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D31CAC" wp14:editId="01FFBACB">
                <wp:simplePos x="0" y="0"/>
                <wp:positionH relativeFrom="column">
                  <wp:posOffset>89535</wp:posOffset>
                </wp:positionH>
                <wp:positionV relativeFrom="paragraph">
                  <wp:posOffset>16510</wp:posOffset>
                </wp:positionV>
                <wp:extent cx="180975" cy="123825"/>
                <wp:effectExtent l="38100" t="38100" r="9525" b="66675"/>
                <wp:wrapNone/>
                <wp:docPr id="5" name="4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5" o:spid="_x0000_s1026" type="#_x0000_t187" style="position:absolute;margin-left:7.05pt;margin-top:1.3pt;width:14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iJmQIAAE8FAAAOAAAAZHJzL2Uyb0RvYy54bWysVMFO3DAQvVfqP1i+Q5LtboEVWbQCUVVC&#10;gAoVZ+PYJJLjcW3vZrc/0GN/BVVFlSq13xD+qGMnGxCgHqruwevxzLzxvLzx/sGqVmQprKtA5zTb&#10;TikRmkNR6Zucfrw83tqlxHmmC6ZAi5yuhaMHs9ev9hszFSMoQRXCEgTRbtqYnJbem2mSOF6Kmrlt&#10;MEKjU4KtmUfT3iSFZQ2i1yoZpenbpAFbGAtcOIenR52TziK+lIL7Mymd8ETlFO/m42rjeh3WZLbP&#10;pjeWmbLi/TXYP9yiZpXGogPUEfOMLGz1DKquuAUH0m9zqBOQsuIi9oDdZOmTbi5KZkTsBclxZqDJ&#10;/T9Yfro8t6QqcjqhRLMaP9F4q/3Z/m5/tXf3X3C9vf9K2h/tt/YO1+/tLZkE0hrjpph7Yc5tbznc&#10;BgZW0tbhH3sjq0j0eiBarDzheJjtpns7WJCjKxu92R1FzOQh2Vjn3wmoSdjkFBVkx5FftjxxHiti&#10;7CYGjXCbrn7c+bUS4QpKfxASm8OKo5gdZSUOlSVLhoJgnAvts85VskJ0x5MUf6FJLDJkRCsCBmRZ&#10;KTVg9wBBss+xO5g+PqSKqMohOf3bxbrkISNWBu2H5LrSYF8CUNhVX7mL35DUURNYuoZijZ/eQjcT&#10;zvDjCsk+Yc6fM4tDgOOCg+3PcJEKmpxCv6OkBPv5pfMQj9pELyUNDhV+uU8LZgUl6r1G1e5l43GY&#10;wmiMJzsjNOxjz/Vjj17Uh4CfKcMnxPC4DfFebbbSQn2F8z8PVdHFNMfaOeXeboxD3w07viBczOcx&#10;DCfPMH+iLwwP4IHVoKXL1RWzplecR6mewmYA2fSJ7rrYkKlhvvAgqyjKB157vnFqo3D6FyY8C4/t&#10;GPXwDs7+AAAA//8DAFBLAwQUAAYACAAAACEA8pA/T9UAAAAGAQAADwAAAGRycy9kb3ducmV2Lnht&#10;bEyOQUvEMBCF74L/IYzgzU0TyiK16SKCCt6sgtdsM9sUm0lp0m79986e9DR8vMebrz5sYRQrzmmI&#10;ZEDtChBIXXQD9QY+P57v7kGkbMnZMRIa+MEEh+b6qraVi2d6x7XNveARSpU14HOeKilT5zHYtIsT&#10;EmenOAebGedeutmeeTyMUhfFXgY7EH/wdsInj913uwQDFt/whLGUvlW0qPVLv7z22pjbm+3xAUTG&#10;Lf+V4aLP6tCw0zEu5JIYmUvFTQN6D4Lj8nKPjFqBbGr5X7/5BQAA//8DAFBLAQItABQABgAIAAAA&#10;IQC2gziS/gAAAOEBAAATAAAAAAAAAAAAAAAAAAAAAABbQ29udGVudF9UeXBlc10ueG1sUEsBAi0A&#10;FAAGAAgAAAAhADj9If/WAAAAlAEAAAsAAAAAAAAAAAAAAAAALwEAAF9yZWxzLy5yZWxzUEsBAi0A&#10;FAAGAAgAAAAhAHCI2ImZAgAATwUAAA4AAAAAAAAAAAAAAAAALgIAAGRycy9lMm9Eb2MueG1sUEsB&#10;Ai0AFAAGAAgAAAAhAPKQP0/VAAAABgEAAA8AAAAAAAAAAAAAAAAA8wQAAGRycy9kb3ducmV2Lnht&#10;bFBLBQYAAAAABAAEAPMAAAD1BQAAAAA=&#10;" fillcolor="#4f81bd [3204]" strokecolor="#243f60 [1604]" strokeweight="2pt"/>
            </w:pict>
          </mc:Fallback>
        </mc:AlternateContent>
      </w:r>
      <w:r w:rsidR="00D1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r w:rsidR="00721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Захарченко Иван Валентинович</w:t>
      </w:r>
      <w:r w:rsidR="0081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енеральный директор ООО ИАЦ  «Новый Город»</w:t>
      </w:r>
      <w:r w:rsidR="006E2A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C3041" w:rsidRPr="001C3041">
        <w:t xml:space="preserve"> </w:t>
      </w:r>
      <w:r w:rsidR="001C3041" w:rsidRPr="001C3041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амчатск</w:t>
      </w:r>
      <w:r w:rsid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молодежной политики </w:t>
      </w:r>
      <w:r w:rsid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3041" w:rsidRPr="001C30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Камчатки</w:t>
      </w:r>
      <w:r w:rsidR="001C304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01E29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5013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15013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="001C304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C304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Яроцкий</w:t>
      </w:r>
      <w:proofErr w:type="spellEnd"/>
      <w:r w:rsidR="001C304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Георгий Павлович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3041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лабораторией геоэкологии института вулканологии и сейсмологии ДВО РАН</w:t>
      </w:r>
      <w:r w:rsidR="006E2A7C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представитель</w:t>
      </w:r>
      <w:r w:rsidR="006E2A7C" w:rsidRPr="003475F1">
        <w:t xml:space="preserve"> 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E2A7C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амчатского краевого отделения Всероссийской общественной  организации «Русское географическое общество»</w:t>
      </w:r>
      <w:r w:rsidR="00E01E29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5013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4F96" w:rsidRDefault="00B1259A" w:rsidP="001C3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BFA63" wp14:editId="17619091">
                <wp:simplePos x="0" y="0"/>
                <wp:positionH relativeFrom="column">
                  <wp:posOffset>99060</wp:posOffset>
                </wp:positionH>
                <wp:positionV relativeFrom="paragraph">
                  <wp:posOffset>42545</wp:posOffset>
                </wp:positionV>
                <wp:extent cx="180975" cy="123825"/>
                <wp:effectExtent l="38100" t="38100" r="9525" b="66675"/>
                <wp:wrapNone/>
                <wp:docPr id="7" name="4-конечная звезд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star4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7" o:spid="_x0000_s1026" type="#_x0000_t187" style="position:absolute;margin-left:7.8pt;margin-top:3.35pt;width:14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cilgIAABEFAAAOAAAAZHJzL2Uyb0RvYy54bWysVEtu2zAQ3RfoHQjuE0muXDtG5MCN4aJA&#10;kARIiqzHFGUJoEiWpC2nF+iyVwmKBgUKtGdQbtQhJefXrIp6MZ7R/DiPb3h4tK0F2XBjKyUzmuzH&#10;lHDJVF7JVUY/Xi72xpRYBzIHoSTP6DW39Gj6+tVhoyd8oEolcm4IFpF20uiMls7pSRRZVvIa7L7S&#10;XKKzUKYGh6ZZRbmBBqvXIhrE8duoUSbXRjFuLX6dd046DfWLgjN3VhSWOyIyimdzQZogl15G00OY&#10;rAzosmL9MeAfTlFDJbHpfak5OCBrU/1Vqq6YUVYVbp+pOlJFUTEeZsBpkvjZNBclaB5mQXCsvofJ&#10;/r+y7HRzbkiVZ3REiYQaryjda3+2v9tf7e3dF5Q3d19J+6P91t6i/N7ekJEHrdF2grkX+tz0lkXV&#10;I7AtTO3/cTayDUBf3wPNt44w/JiM44PRkBKGrmTwZjwY+prRQ7I21r3nqiZeySgyyKQBX9icWNfF&#10;7mJ8M6tElS8qIYJhVstjYcgG8NLTxTh5N+/LPwkTkjQZHQzTGInBAMlXCHCo1hrhsHJFCYgVspo5&#10;E3o/ybYvNAnNS8h513oY42/XuQsPQz6p46eYgy27lODqU4T09XggcT+0R73D2WtLlV/j5RnVsdpq&#10;tqiw2glYdw4GaYxz4Wq6MxSFUDis6jVKSmU+v/TdxyO70EtJg2uBQHxag+GUiA8SeXeQpKnfo2Ck&#10;w9EADfPYs3zskev6WOElJPgIaBZUH+/ETi2Mqq9wg2e+K7pAMuzdQd4bx65bV3wDGJ/NQhjujgZ3&#10;Ii8088U9Th7Hy+0VGN1zxiHZTtVuhWDyjDldrM+UarZ2qqgCrR5wxavyBu5duLT+jfCL/dgOUQ8v&#10;2fQPAAAA//8DAFBLAwQUAAYACAAAACEAGJO+L9wAAAAGAQAADwAAAGRycy9kb3ducmV2LnhtbEyO&#10;wU7DMBBE70j8g7VI3KjTKLgojVNRJMSBUwsI9baNTZxir6PYSQNfjznBcTSjN6/azM6ySQ+h8yRh&#10;uciAaWq86qiV8PryeHMHLEQkhdaTlvClA2zqy4sKS+XPtNPTPrYsQSiUKMHE2Jech8Zoh2Hhe02p&#10;+/CDw5ji0HI14DnBneV5lgnusKP0YLDXD0Y3n/vRSSh272j4tz0dxGrbn7ZP0/j2PEl5fTXfr4FF&#10;Pce/MfzqJ3Wok9PRj6QCsynfirSUIFbAUl0US2BHCbnIgdcV/69f/wAAAP//AwBQSwECLQAUAAYA&#10;CAAAACEAtoM4kv4AAADhAQAAEwAAAAAAAAAAAAAAAAAAAAAAW0NvbnRlbnRfVHlwZXNdLnhtbFBL&#10;AQItABQABgAIAAAAIQA4/SH/1gAAAJQBAAALAAAAAAAAAAAAAAAAAC8BAABfcmVscy8ucmVsc1BL&#10;AQItABQABgAIAAAAIQASNqcilgIAABEFAAAOAAAAAAAAAAAAAAAAAC4CAABkcnMvZTJvRG9jLnht&#10;bFBLAQItABQABgAIAAAAIQAYk74v3AAAAAYBAAAPAAAAAAAAAAAAAAAAAPAEAABkcnMvZG93bnJl&#10;di54bWxQSwUGAAAAAAQABADzAAAA+QUAAAAA&#10;" fillcolor="#4f81bd" strokecolor="#385d8a" strokeweight="2pt"/>
            </w:pict>
          </mc:Fallback>
        </mc:AlternateContent>
      </w:r>
      <w:r w:rsidR="00D15013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- 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A7C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Седина Людмила Анатольевна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2A7C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 отдела архите</w:t>
      </w:r>
      <w:r w:rsid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ктуры и градостроительства 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строительства Камчатского края</w:t>
      </w:r>
      <w:r w:rsidR="00814F96"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FA9" w:rsidRDefault="00DB3FA9" w:rsidP="001C30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2105 году проведено 3 заседания Общественного совета.</w:t>
      </w:r>
    </w:p>
    <w:p w:rsidR="00044F01" w:rsidRDefault="00DB3FA9" w:rsidP="00DB3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состоялось 31 марта 2015 года. </w:t>
      </w:r>
    </w:p>
    <w:p w:rsidR="00DB3FA9" w:rsidRPr="00DB3FA9" w:rsidRDefault="00DB3FA9" w:rsidP="00DB3F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44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были рассмотрены проблемные вопросы, </w:t>
      </w:r>
      <w:r w:rsidRPr="00DB3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возникающие в процессе деятельности государственных унитарных предприятий, подведомственных Минстрою Камчатского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</w:t>
      </w:r>
      <w:r w:rsidRPr="00DB3FA9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еханизмы внедрения гражданских инициатив при осуществлении строительства.</w:t>
      </w:r>
    </w:p>
    <w:p w:rsidR="00A07C60" w:rsidRPr="00A07C60" w:rsidRDefault="00991682" w:rsidP="00A07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7C60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одняты вопросы необходимости инициирования внесения изменений в федеральный закон от 05.04.2014  44-ФЗ «О контрактной системе в сфере закупок товаров, работ, услуг для обеспечения государственных и муниципальных нужд»</w:t>
      </w:r>
      <w:r w:rsid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7C60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F01" w:rsidRDefault="00A07C60" w:rsidP="00A07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Рассмотрены предложения применения механизмов, позволяющих повысить конкурентоспособность местных проектных организаций, такие как проведение экспертизы по месту строительства объекта, невозможность снижения начальной максимальной цены контракта ниже себестоимости разработки проектной документации, преимуществ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аукционов, осуществляющих проектирование и строительство в регионе расположения объекта, декларирование соответствия участников аукциона установленным требованиям в первых частях заявки, учёт наличия производственных, строительных мощностей, оборудования и квалификационного состава организации</w:t>
      </w:r>
      <w:proofErr w:type="gramEnd"/>
      <w:r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возможность авансирования проектных работ в размере более чем 10 процентов от общей стоимости при необходимости привлечения субподрядных организаций для выполнения геологических и топографических работ и др.</w:t>
      </w:r>
    </w:p>
    <w:p w:rsidR="00A07C60" w:rsidRDefault="00991682" w:rsidP="00A07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07C60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</w:t>
      </w:r>
      <w:r w:rsidR="00333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07C60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учёта общественного мнения</w:t>
      </w:r>
      <w:r w:rsid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C60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стадии подготовки технического задания на разработку проектной документации посредством публичных обсуждений</w:t>
      </w:r>
      <w:r w:rsid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7C60" w:rsidRDefault="0033342F" w:rsidP="00A07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рекомендации Общественного совета </w:t>
      </w:r>
      <w:r w:rsid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Минстроем Камчатского края разработано типовое техническое задание в помощь </w:t>
      </w:r>
      <w:r w:rsidR="00A07C60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администрациям муниципальных образований в Камчатском крае по подготовке конкурсной документации</w:t>
      </w:r>
      <w:r w:rsid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D2A" w:rsidRDefault="00991682" w:rsidP="00347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ешено </w:t>
      </w:r>
      <w:r w:rsidR="00471D83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согласовывать технические задания </w:t>
      </w:r>
      <w:r w:rsidR="00333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объявления конкурсов (аукционов) </w:t>
      </w:r>
      <w:r w:rsidR="00471D83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социально ориентированн</w:t>
      </w:r>
      <w:r w:rsid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общественными организациями</w:t>
      </w:r>
      <w:r w:rsidR="00471D83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соблюдения</w:t>
      </w:r>
      <w:r w:rsidR="00A07C60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законодательства по обеспечению доступности зданий и сооружений для маломобильных групп населения</w:t>
      </w:r>
      <w:r w:rsid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F01" w:rsidRDefault="00C80D2A" w:rsidP="003475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2-ом квартале 2016 года заседание </w:t>
      </w:r>
      <w:r w:rsidR="003334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бщественного совета не проводилось, </w:t>
      </w:r>
      <w:r w:rsidR="003334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отсутствия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кворума (большинство членов </w:t>
      </w:r>
      <w:r w:rsidR="0033342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 находились в отпусках за пределами края).</w:t>
      </w:r>
      <w:r w:rsidR="00A07C60" w:rsidRPr="00A0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1D83" w:rsidRDefault="003475F1" w:rsidP="00471D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состоялось 16.09.2015 года, были рассмотрены в</w:t>
      </w:r>
      <w:r w:rsidR="00471D83" w:rsidRP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ценообразования в строительстве</w:t>
      </w:r>
      <w:r w:rsid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471D83" w:rsidRP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роблемы реализации инвестиционного проекта по строительству тепличного комплекса в п. Термальный </w:t>
      </w:r>
      <w:proofErr w:type="spellStart"/>
      <w:r w:rsidR="00471D83" w:rsidRP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Паратунского</w:t>
      </w:r>
      <w:proofErr w:type="spellEnd"/>
      <w:r w:rsidR="00471D83" w:rsidRP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</w:t>
      </w:r>
      <w:r w:rsidR="00471D83" w:rsidRP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 </w:t>
      </w:r>
      <w:r w:rsid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1D83" w:rsidRP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развития конкуренции в субъектах Российской Федерации</w:t>
      </w:r>
      <w:r w:rsid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1D83" w:rsidRP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</w:t>
      </w:r>
      <w:r w:rsid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471D83" w:rsidRPr="0047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автономной некоммерческой организацией «Агентство стратегических инициатив по продвижению новых проектов»</w:t>
      </w:r>
      <w:r w:rsidR="00CC28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28AB" w:rsidRPr="00CC2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8AB"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более жестко регламентируются требование к осуществлению деятельности органов исполнительной власти субъектов РФ</w:t>
      </w:r>
      <w:proofErr w:type="gramEnd"/>
      <w:r w:rsidR="00CC28AB"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направленной на создание условий для развития конкуренции. </w:t>
      </w:r>
    </w:p>
    <w:p w:rsidR="00C80D2A" w:rsidRPr="00C80D2A" w:rsidRDefault="00991682" w:rsidP="00C80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ассмотрена р</w:t>
      </w:r>
      <w:r w:rsidR="00C80D2A"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</w:t>
      </w:r>
      <w:r w:rsid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0D2A"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</w:t>
      </w:r>
      <w:r w:rsid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0D2A"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Камчатского края по урегулированию упущения в наименовании индекса цен на проектные и строительные работы в письме Министерства строительства и жилищно-коммунального хозяйства, что привело к проблемам включения в сметный расчёт затрат на транспортировку строительных материалов и конструкций в отдалённые северные районы края, и получения заключения государственной экспертизы.</w:t>
      </w:r>
    </w:p>
    <w:p w:rsidR="00C80D2A" w:rsidRPr="00C80D2A" w:rsidRDefault="00C80D2A" w:rsidP="00C80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рекомендации общественного совета </w:t>
      </w:r>
      <w:r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Камчатского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 и организации строительного комплекса Камчатки о результатах работы через саморегулируемую организацию «Союз строителей Камчатки». </w:t>
      </w:r>
    </w:p>
    <w:p w:rsidR="00C80D2A" w:rsidRPr="00C80D2A" w:rsidRDefault="0033342F" w:rsidP="00C80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Проблемный  в</w:t>
      </w:r>
      <w:r w:rsid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 </w:t>
      </w:r>
      <w:r w:rsidR="00C80D2A"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</w:t>
      </w:r>
      <w:r w:rsid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0D2A"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тепличного комплекса в п. Термальный ООО «Паужетка </w:t>
      </w:r>
      <w:proofErr w:type="spellStart"/>
      <w:r w:rsidR="00C80D2A"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Агротерм</w:t>
      </w:r>
      <w:proofErr w:type="spellEnd"/>
      <w:r w:rsid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Общественным советом р</w:t>
      </w:r>
      <w:r w:rsid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ешено </w:t>
      </w:r>
      <w:r w:rsidR="00C80D2A" w:rsidRPr="00C80D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вынести на заседание рабочей группы по координации деятельности органов государственной власти Камчатского края по строительству при  Инвестиционном совете Камчатского края.</w:t>
      </w:r>
    </w:p>
    <w:p w:rsidR="00C552AF" w:rsidRDefault="00C552AF" w:rsidP="00C55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3-ем заседании общественного совета от 21.12.2015 года</w:t>
      </w:r>
      <w:r w:rsidRPr="00C552A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рассмотрено</w:t>
      </w:r>
      <w:r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на рынке строительства по итогам 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1682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CC28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1682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</w:t>
      </w:r>
      <w:r w:rsidR="00CC28A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91682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Минстроем Камчатского края с Министерством строительства и ЖКХ РФ по установлению фактической стоимости 1 </w:t>
      </w:r>
      <w:proofErr w:type="spellStart"/>
      <w:r w:rsidR="00991682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91682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жилой площади, которая экономически обоснована на территории Камчатского края</w:t>
      </w:r>
      <w:r w:rsidR="0099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1682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 w:rsidR="00CC2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991682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</w:t>
      </w:r>
      <w:r w:rsidR="00CC28A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91682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ассоциации строителей для защиты интересов п</w:t>
      </w:r>
      <w:r w:rsidR="0099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редставителей стройиндустрии, 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 w:rsidR="00CC28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674E" w:rsidRPr="00991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74E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</w:t>
      </w:r>
      <w:r w:rsidR="0093674E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3674E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gramEnd"/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93674E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примере 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конкретной </w:t>
      </w:r>
      <w:r w:rsidR="0093674E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документации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674E"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размещенной на электронной</w:t>
      </w:r>
      <w:r w:rsidR="00CC2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площадке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роблемные вопросы по внедрению информационных систем обеспечения градостроительной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Камчатском крае,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 за 2015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52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на 2016 год.</w:t>
      </w:r>
    </w:p>
    <w:p w:rsidR="00642E41" w:rsidRPr="00C552AF" w:rsidRDefault="00642E41" w:rsidP="00C55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EDD" w:rsidRDefault="0093674E" w:rsidP="004B2E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42E41" w:rsidRDefault="00642E41" w:rsidP="004B2ED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E198F8" wp14:editId="56B64094">
            <wp:extent cx="5514975" cy="32004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642E41" w:rsidRDefault="00642E41" w:rsidP="004B2ED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E41" w:rsidRDefault="00642E41" w:rsidP="002A14C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EDD" w:rsidRDefault="0014431F" w:rsidP="002A14C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содержания </w:t>
      </w:r>
      <w:r w:rsidR="005C65A8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5013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рассмотренных в 201</w:t>
      </w:r>
      <w:r w:rsidR="00EA2FF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5013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5C65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показывает, что актуальными для членов Общественного совета являются вопросы</w:t>
      </w:r>
      <w:r w:rsidR="00F962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5013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D47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с </w:t>
      </w:r>
      <w:r w:rsidR="0093674E" w:rsidRP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дел на рынке 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проектирования и </w:t>
      </w:r>
      <w:r w:rsidR="0093674E" w:rsidRP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применение </w:t>
      </w:r>
      <w:r w:rsidR="0093674E" w:rsidRP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3674E" w:rsidRP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674E" w:rsidRP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05.04.2014  44-ФЗ «О контрактной системе в сфере закупок товаров, работ, услуг для обеспечения государственных и муниципальных нужд»</w:t>
      </w:r>
      <w:r w:rsid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>44-ФЗ.</w:t>
      </w:r>
      <w:r w:rsidR="0093674E" w:rsidRP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2EDD" w:rsidRDefault="002A14CE" w:rsidP="002A14C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Общественного совета 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</w:t>
      </w: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выступали </w:t>
      </w:r>
      <w:r w:rsidR="002946C7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Общественного совета</w:t>
      </w:r>
      <w:r w:rsidR="002946C7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08C4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инициировали</w:t>
      </w:r>
      <w:r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</w:t>
      </w:r>
      <w:r w:rsidR="00E30487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включению в план работы на 201</w:t>
      </w:r>
      <w:r w:rsidR="00EA2F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вопросов</w:t>
      </w:r>
      <w:r w:rsid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4A71" w:rsidRPr="005F4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74E" w:rsidRPr="00936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возникающих в процессе деятельности Министерства строительства Камчатского края в сфере строительства, ценообразования в строительстве, реализации государственных программ Камчатского края, изменений в законодательстве и принятия нормативных правовых актов, проведения конкурсных процедур. </w:t>
      </w:r>
    </w:p>
    <w:p w:rsidR="00E208C4" w:rsidRPr="004B2EDD" w:rsidRDefault="00E208C4" w:rsidP="002A14CE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членами Общественного совета подготовлены предложения по следующим направлениям:</w:t>
      </w:r>
    </w:p>
    <w:p w:rsidR="005F4A71" w:rsidRPr="004B2EDD" w:rsidRDefault="00BB4D49" w:rsidP="00563E7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C2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проектных и строительных организаций края в современных экономических условиях</w:t>
      </w:r>
      <w:r w:rsidR="005F4A71" w:rsidRPr="004B2EDD">
        <w:rPr>
          <w:rFonts w:ascii="Times New Roman" w:hAnsi="Times New Roman" w:cs="Times New Roman"/>
          <w:sz w:val="28"/>
          <w:szCs w:val="28"/>
        </w:rPr>
        <w:t>;</w:t>
      </w:r>
    </w:p>
    <w:p w:rsidR="005F4A71" w:rsidRPr="004B2EDD" w:rsidRDefault="005F4A71" w:rsidP="00563E7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2EDD"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инициирования внесения изменений в федеральный закон от 05.04.2014  44-ФЗ «О контрактной системе в сфере закупок товаров, работ, услуг для обеспечения государственных и муниципальных нужд»</w:t>
      </w:r>
      <w:r w:rsidRPr="004B2EDD">
        <w:rPr>
          <w:rFonts w:ascii="Times New Roman" w:hAnsi="Times New Roman" w:cs="Times New Roman"/>
          <w:sz w:val="28"/>
          <w:szCs w:val="28"/>
        </w:rPr>
        <w:t>.</w:t>
      </w:r>
    </w:p>
    <w:p w:rsidR="005F4A71" w:rsidRDefault="00343446" w:rsidP="00563E7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граждан о деятельности </w:t>
      </w:r>
      <w:r w:rsidR="00B0373C"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строительства</w:t>
      </w:r>
      <w:r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и Общественного совета осуществля</w:t>
      </w:r>
      <w:r w:rsidR="005F4A71"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A71"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размещение </w:t>
      </w:r>
      <w:r w:rsidR="00B0373C"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информации, проектов нормативных – правовых актов, документов территориального планирования </w:t>
      </w:r>
      <w:r w:rsidR="005F4A71" w:rsidRPr="004B2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Правительства Камчатского края на странице Минстроя Камчатского края.</w:t>
      </w:r>
    </w:p>
    <w:p w:rsidR="00E04B3F" w:rsidRDefault="00E04B3F" w:rsidP="00563E7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B3F" w:rsidRDefault="00E04B3F" w:rsidP="00563E7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B3F" w:rsidRPr="004B2EDD" w:rsidRDefault="00E04B3F" w:rsidP="00563E73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04B3F" w:rsidRPr="004B2EDD" w:rsidSect="00642E41">
      <w:pgSz w:w="11906" w:h="16838"/>
      <w:pgMar w:top="1134" w:right="567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12B49"/>
    <w:multiLevelType w:val="hybridMultilevel"/>
    <w:tmpl w:val="02FE0DF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CD"/>
    <w:rsid w:val="00044F01"/>
    <w:rsid w:val="000779DF"/>
    <w:rsid w:val="00086CCD"/>
    <w:rsid w:val="001437C5"/>
    <w:rsid w:val="0014431F"/>
    <w:rsid w:val="001530B5"/>
    <w:rsid w:val="00186943"/>
    <w:rsid w:val="001B102C"/>
    <w:rsid w:val="001C3041"/>
    <w:rsid w:val="002007AE"/>
    <w:rsid w:val="002061A2"/>
    <w:rsid w:val="002946C7"/>
    <w:rsid w:val="002A14CE"/>
    <w:rsid w:val="002A6B36"/>
    <w:rsid w:val="002D30DC"/>
    <w:rsid w:val="0033342F"/>
    <w:rsid w:val="00343446"/>
    <w:rsid w:val="003475F1"/>
    <w:rsid w:val="00376BEB"/>
    <w:rsid w:val="00465FBC"/>
    <w:rsid w:val="00471D83"/>
    <w:rsid w:val="00472ADB"/>
    <w:rsid w:val="004B2EDD"/>
    <w:rsid w:val="0050758F"/>
    <w:rsid w:val="00554DAD"/>
    <w:rsid w:val="00563E73"/>
    <w:rsid w:val="005C65A8"/>
    <w:rsid w:val="005D56A9"/>
    <w:rsid w:val="005F4A71"/>
    <w:rsid w:val="00620954"/>
    <w:rsid w:val="00642E41"/>
    <w:rsid w:val="00643487"/>
    <w:rsid w:val="006B717A"/>
    <w:rsid w:val="006C2785"/>
    <w:rsid w:val="006C4304"/>
    <w:rsid w:val="006E2A7C"/>
    <w:rsid w:val="006E662A"/>
    <w:rsid w:val="006F0D47"/>
    <w:rsid w:val="006F51C7"/>
    <w:rsid w:val="00721E4C"/>
    <w:rsid w:val="00770812"/>
    <w:rsid w:val="00814F96"/>
    <w:rsid w:val="008F01AC"/>
    <w:rsid w:val="009047A9"/>
    <w:rsid w:val="0093674E"/>
    <w:rsid w:val="00991682"/>
    <w:rsid w:val="009A08B2"/>
    <w:rsid w:val="009C184D"/>
    <w:rsid w:val="009C3DCB"/>
    <w:rsid w:val="00A07C60"/>
    <w:rsid w:val="00A415EB"/>
    <w:rsid w:val="00AB20CA"/>
    <w:rsid w:val="00B0373C"/>
    <w:rsid w:val="00B1259A"/>
    <w:rsid w:val="00B462D7"/>
    <w:rsid w:val="00BB4D49"/>
    <w:rsid w:val="00BC796D"/>
    <w:rsid w:val="00C552AF"/>
    <w:rsid w:val="00C80D2A"/>
    <w:rsid w:val="00CC190A"/>
    <w:rsid w:val="00CC28AB"/>
    <w:rsid w:val="00CD0CE0"/>
    <w:rsid w:val="00D15013"/>
    <w:rsid w:val="00DA2B67"/>
    <w:rsid w:val="00DB3FA9"/>
    <w:rsid w:val="00DD094D"/>
    <w:rsid w:val="00DE37A1"/>
    <w:rsid w:val="00E01E29"/>
    <w:rsid w:val="00E04B3F"/>
    <w:rsid w:val="00E208C4"/>
    <w:rsid w:val="00E30487"/>
    <w:rsid w:val="00E45E2A"/>
    <w:rsid w:val="00E516CE"/>
    <w:rsid w:val="00EA2FF8"/>
    <w:rsid w:val="00EC5C76"/>
    <w:rsid w:val="00F22259"/>
    <w:rsid w:val="00F34700"/>
    <w:rsid w:val="00F962E8"/>
    <w:rsid w:val="00FB05C8"/>
    <w:rsid w:val="00FB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086CC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CC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9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6B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086CC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CC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9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6B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ПРОЦЕНТНЫЙ СОСТАВ ОБЩЕСТВЕННОГО СОВЕТА на 2015 ГОД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14"/>
          <c:dPt>
            <c:idx val="0"/>
            <c:bubble3D val="0"/>
            <c:explosion val="17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  <c:explosion val="25"/>
            <c:spPr>
              <a:solidFill>
                <a:schemeClr val="tx2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</c:spPr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0.14634301080463102"/>
                  <c:y val="0.18738382522328595"/>
                </c:manualLayout>
              </c:layout>
              <c:tx>
                <c:rich>
                  <a:bodyPr/>
                  <a:lstStyle/>
                  <a:p>
                    <a:r>
                      <a:rPr lang="ru-RU" sz="800" smtClean="0"/>
                      <a:t>Представители общественных организаций, представляющие  категории граждан, чьи интересы должны</a:t>
                    </a:r>
                    <a:r>
                      <a:rPr lang="ru-RU" sz="800" baseline="0" smtClean="0"/>
                      <a:t> соблюдаться  в процессе проектирования и строительства </a:t>
                    </a:r>
                    <a:r>
                      <a:rPr lang="ru-RU" sz="800" dirty="0"/>
                      <a:t>21 %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4852799381672383"/>
                  <c:y val="-0.44259143866009554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Представители Общественных организаций, осуществляющие</a:t>
                    </a:r>
                    <a:r>
                      <a:rPr lang="ru-RU" sz="800" baseline="0"/>
                      <a:t> деятельность в сфере</a:t>
                    </a:r>
                    <a:r>
                      <a:rPr lang="ru-RU" sz="800"/>
                      <a:t> строительства
34 %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4422926428674943"/>
                  <c:y val="-4.0195245378500437E-2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Имеющие строительно-экономическое образование 34 %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23018887976426258"/>
                  <c:y val="0.11557884401140504"/>
                </c:manualLayout>
              </c:layout>
              <c:tx>
                <c:rich>
                  <a:bodyPr/>
                  <a:lstStyle/>
                  <a:p>
                    <a:r>
                      <a:rPr lang="ru-RU" sz="800"/>
                      <a:t>Имеющие горно- геофизическое образование
11 %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Лист1!$A$1:$A$4</c:f>
              <c:strCache>
                <c:ptCount val="4"/>
                <c:pt idx="0">
                  <c:v>Образование</c:v>
                </c:pt>
                <c:pt idx="1">
                  <c:v>Общественные организации</c:v>
                </c:pt>
                <c:pt idx="2">
                  <c:v>Предприниматели</c:v>
                </c:pt>
                <c:pt idx="3">
                  <c:v>Государственные учреждения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11</c:v>
                </c:pt>
                <c:pt idx="1">
                  <c:v>21</c:v>
                </c:pt>
                <c:pt idx="2">
                  <c:v>34</c:v>
                </c:pt>
                <c:pt idx="3">
                  <c:v>34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62"/>
      </c:pie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9.3581846572975844E-2"/>
          <c:y val="0.16656761654793151"/>
          <c:w val="0.41988388318548792"/>
          <c:h val="0.789781589801274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рассматриваемых вопросов</c:v>
                </c:pt>
              </c:strCache>
            </c:strRef>
          </c:tx>
          <c:spPr>
            <a:ln cmpd="dbl"/>
          </c:spPr>
          <c:dPt>
            <c:idx val="0"/>
            <c:bubble3D val="0"/>
            <c:spPr>
              <a:solidFill>
                <a:schemeClr val="accent1"/>
              </a:solidFill>
              <a:ln cmpd="dbl"/>
            </c:spPr>
          </c:dPt>
          <c:cat>
            <c:strRef>
              <c:f>Лист1!$A$2:$A$5</c:f>
              <c:strCache>
                <c:ptCount val="4"/>
                <c:pt idx="0">
                  <c:v>Реализация инвестпроектов 18%</c:v>
                </c:pt>
                <c:pt idx="1">
                  <c:v>применение 44-ФЗ "О контрактной системе в сфере закупок" 36,7%</c:v>
                </c:pt>
                <c:pt idx="2">
                  <c:v>Стоимость 1 м.кв. жилой площади и индексы цен 18%</c:v>
                </c:pt>
                <c:pt idx="3">
                  <c:v>Качество подготовки конкурсной документации 27,3%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36.700000000000003</c:v>
                </c:pt>
                <c:pt idx="2">
                  <c:v>18</c:v>
                </c:pt>
                <c:pt idx="3">
                  <c:v>27.3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pattFill prst="pct5">
      <a:fgClr>
        <a:schemeClr val="accent1"/>
      </a:fgClr>
      <a:bgClr>
        <a:schemeClr val="bg1"/>
      </a:bgClr>
    </a:pattFill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0.23773</cdr:x>
      <cdr:y>0.7518</cdr:y>
    </cdr:from>
    <cdr:to>
      <cdr:x>0.39724</cdr:x>
      <cdr:y>0.79856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H="1">
          <a:off x="1476375" y="1990725"/>
          <a:ext cx="990600" cy="1238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0.26994</cdr:x>
      <cdr:y>0.27698</cdr:y>
    </cdr:from>
    <cdr:to>
      <cdr:x>0.41871</cdr:x>
      <cdr:y>0.44604</cdr:y>
    </cdr:to>
    <cdr:cxnSp macro="">
      <cdr:nvCxnSpPr>
        <cdr:cNvPr id="11" name="Прямая соединительная линия 10"/>
        <cdr:cNvCxnSpPr/>
      </cdr:nvCxnSpPr>
      <cdr:spPr>
        <a:xfrm xmlns:a="http://schemas.openxmlformats.org/drawingml/2006/main" flipH="1" flipV="1">
          <a:off x="1676400" y="733425"/>
          <a:ext cx="923925" cy="4476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0.61656</cdr:x>
      <cdr:y>0.44245</cdr:y>
    </cdr:from>
    <cdr:to>
      <cdr:x>0.69479</cdr:x>
      <cdr:y>0.51079</cdr:y>
    </cdr:to>
    <cdr:cxnSp macro="">
      <cdr:nvCxnSpPr>
        <cdr:cNvPr id="13" name="Прямая соединительная линия 12"/>
        <cdr:cNvCxnSpPr/>
      </cdr:nvCxnSpPr>
      <cdr:spPr>
        <a:xfrm xmlns:a="http://schemas.openxmlformats.org/drawingml/2006/main" flipV="1">
          <a:off x="3829050" y="1171575"/>
          <a:ext cx="485775" cy="18097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0.61656</cdr:x>
      <cdr:y>0.74101</cdr:y>
    </cdr:from>
    <cdr:to>
      <cdr:x>0.75</cdr:x>
      <cdr:y>0.81655</cdr:y>
    </cdr:to>
    <cdr:cxnSp macro="">
      <cdr:nvCxnSpPr>
        <cdr:cNvPr id="15" name="Прямая соединительная линия 14"/>
        <cdr:cNvCxnSpPr/>
      </cdr:nvCxnSpPr>
      <cdr:spPr>
        <a:xfrm xmlns:a="http://schemas.openxmlformats.org/drawingml/2006/main">
          <a:off x="3829050" y="1962150"/>
          <a:ext cx="828675" cy="2000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8AAF-3865-47C5-A551-3CB95188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Олеся Алексеевна</dc:creator>
  <cp:lastModifiedBy>Седина Людмила Анатольевна</cp:lastModifiedBy>
  <cp:revision>8</cp:revision>
  <cp:lastPrinted>2015-01-28T23:35:00Z</cp:lastPrinted>
  <dcterms:created xsi:type="dcterms:W3CDTF">2016-01-21T22:53:00Z</dcterms:created>
  <dcterms:modified xsi:type="dcterms:W3CDTF">2016-01-28T04:05:00Z</dcterms:modified>
</cp:coreProperties>
</file>