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60" w:lineRule="auto"/>
        <w:jc w:val="center"/>
        <w:rPr>
          <w:rFonts w:ascii="Times New Roman" w:hAnsi="Times New Roman"/>
          <w:sz w:val="32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spacing w:before="0" w:after="0" w:line="240" w:lineRule="auto"/>
        <w:rPr>
          <w:rFonts w:ascii="Times New Roman" w:hAnsi="Times New Roman"/>
          <w:b/>
          <w:sz w:val="32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spacing w:before="0"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>
      <w:pPr>
        <w:spacing w:before="0"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8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29"/>
        <w:tblW w:w="4707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AutoHyphens/>
              <w:overflowPunct/>
              <w:bidi w:val="0"/>
              <w:snapToGrid/>
              <w:spacing w:before="0" w:after="0" w:line="240" w:lineRule="auto"/>
              <w:ind w:left="28"/>
              <w:jc w:val="both"/>
              <w:textAlignment w:val="auto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</w:tbl>
    <w:p>
      <w:pPr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/>
        </w:rPr>
        <w:t>Об утверждении Порядка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/>
        </w:rPr>
        <w:t>предоставления арендного жилья на территории Камчатского края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40" w:lineRule="auto"/>
        <w:ind w:left="0" w:firstLine="658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соответствии с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софинансирования расходных обязательств указанных субъектов Российской Федерации, связанных с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беспечением отдельных категорий граждан жильем, утвержденных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остановление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Правительства Р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оссийской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едерации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от 15.04.2014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308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Социально-экономическое развитие Дальневосточного федерального округа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»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40" w:lineRule="auto"/>
        <w:ind w:left="0" w:firstLine="564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40" w:lineRule="auto"/>
        <w:ind w:left="0" w:firstLine="660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highlight w:val="non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Утвердить Порядок предоставления арендного жилья на территории Камчатского края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  <w:lang w:val="ru-RU"/>
        </w:rPr>
        <w:t>.</w:t>
      </w:r>
    </w:p>
    <w:p>
      <w:pPr>
        <w:numPr>
          <w:ilvl w:val="0"/>
          <w:numId w:val="1"/>
        </w:numPr>
        <w:spacing w:before="0" w:after="0"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Настоящее постановление вступает в силу после дня его официального опубликования.</w:t>
      </w:r>
    </w:p>
    <w:p>
      <w:pPr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9532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</w:tcPr>
          <w:p>
            <w:pPr>
              <w:widowControl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widowControl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widowControl/>
              <w:spacing w:before="0" w:after="0" w:line="240" w:lineRule="auto"/>
              <w:ind w:left="3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widowControl/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pacing w:before="0"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>
            <w:pPr>
              <w:widowControl/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/>
              </w:rPr>
              <w:t>Е.А. Чекин</w:t>
            </w:r>
          </w:p>
        </w:tc>
      </w:tr>
    </w:tbl>
    <w:p>
      <w:pPr>
        <w:spacing w:before="0" w:after="0" w:line="276" w:lineRule="auto"/>
        <w:ind w:firstLine="709"/>
        <w:jc w:val="both"/>
        <w:rPr>
          <w:rFonts w:ascii="Times New Roman" w:hAnsi="Times New Roman"/>
          <w:sz w:val="28"/>
        </w:rPr>
        <w:sectPr>
          <w:pgSz w:w="11906" w:h="16838"/>
          <w:pgMar w:top="1134" w:right="1134" w:bottom="1134" w:left="1134" w:header="0" w:footer="0" w:gutter="0"/>
          <w:pgNumType w:fmt="decimal"/>
          <w:cols w:space="720" w:num="1"/>
          <w:formProt w:val="0"/>
        </w:sectPr>
      </w:pPr>
    </w:p>
    <w:tbl>
      <w:tblPr>
        <w:tblStyle w:val="29"/>
        <w:tblW w:w="9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9"/>
        <w:gridCol w:w="483"/>
        <w:gridCol w:w="3661"/>
        <w:gridCol w:w="480"/>
        <w:gridCol w:w="1873"/>
        <w:gridCol w:w="486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/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before="0"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keepNext w:val="0"/>
        <w:keepLines w:val="0"/>
        <w:pageBreakBefore w:val="0"/>
        <w:widowControl/>
        <w:overflowPunct/>
        <w:bidi w:val="0"/>
        <w:snapToGrid/>
        <w:spacing w:before="0"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overflowPunct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</w:p>
    <w:p>
      <w:pPr>
        <w:keepNext w:val="0"/>
        <w:keepLines w:val="0"/>
        <w:pageBreakBefore w:val="0"/>
        <w:widowControl/>
        <w:overflowPunct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арендного жилья на территории Камчатского края 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Настоящий Порядок предоставления арендного жилья на территории Камчатского края (далее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Порядок) определяет правила предоставления арендного жилья отдельным категориям граждан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рендное жилье на территории Камчатского края представляет собой совокупность расположенных на территории Камчатского края жилых помещений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с отделкой, оборудованные мебелью и бытовой техникой, предназначенные для проживания, находящиеся в собственности, в том числе общей долевой собственности, единого института развития в жилищной сфере и (или) его дочерних (зависимых) обществ и переданные и переданны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Акционерному обществу «Камчатское агентство по ипотечному жилищному кредитованию» (далее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региональный оператор) на условиях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договора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аренды недвижимого имущества для последующей передачи гражданам, указанным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настоящего Порядка,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договору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субаренды жилых помещений (далее - договор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субаренды)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целей настоящего П</w:t>
      </w:r>
      <w:bookmarkStart w:id="5" w:name="_GoBack"/>
      <w:bookmarkEnd w:id="5"/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орядка используются следующие понятия: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жилое помещение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квартира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площадью не менее пятнадцати квадратных метров на одного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находящ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аяс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я в собственности Акционерного общества «ДОМ.РФ» и передан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региональный оператор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на условиях аренды недвижимого имущества для последующе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предоставления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граждан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ину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договору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субаренды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список претендентов – список граждан, претендующих на жилые помещения, предоставляемые по д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оговор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 субаренды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, по форме согласно приложению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к настоящему Порядку;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трудовая деятельность – работа гражданина на территории Камчатского края на основании трудового договора или гражданско-правового договора на выполнение работ (оказание услуг);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Министерство строительства и жилищной политики Камчатского края.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Жилые помещения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по договору субаренды предоставляются гражданам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категори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которых установлены частью 5 настоящего Порядка, включенным в список претендентов, при соблюдении условий соответствия граждан требованиям установленным частью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настоящего Порядка.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 на заключение договора субаренды имеют следующие категории граждан (в порядке убывания приоритета):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граждане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Российской Федерации, являющиеся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>частник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>ами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специальной военной операции:</w:t>
      </w:r>
    </w:p>
    <w:p>
      <w:pPr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>а) лица призванные на военную службу по мобилизации в Вооруженные Силы Российской Федерации, или лица,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 мобилизации;</w:t>
      </w:r>
    </w:p>
    <w:p>
      <w:pPr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б) лица проходящие военную службу в Вооруженных Силах Российской Федерации по контракту, или лица, находящиеся на военной службе (службе) в войсках национальной гвардии Российской Федерации, в воинских формированиях и органах, указанных в </w:t>
      </w:r>
      <w:r>
        <w:fldChar w:fldCharType="begin"/>
      </w:r>
      <w:r>
        <w:instrText xml:space="preserve"> HYPERLINK "https://login.consultant.ru/link/?req=doc&amp;base=LAW&amp;n=465549&amp;dst=100339"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>пункте 6 статьи 1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Федерального закона от 31.05.1996 № 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>
      <w:pPr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>в) лица, заключивш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>и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  <w:t>е контракт о добровольном содействии в выполнении задач, возложенных на Вооруженные Силы Российской Федерации или войска национальной гвардии Российской Федерации;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прибывши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(переехавши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) в Камчатский край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, возраст которых на день заключения договора субаренды не превышает 35 лет, постоянно проживающие в Камчатском крае, в том числе являющиеся студентами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специалисты востребованных специальностей, осуществляющих трудовую деятельность на территории Камчатского края: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) м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/>
        </w:rPr>
        <w:t>едицинские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 xml:space="preserve"> работники организаций, осуществляющих в Камчатском крае медицинскую деятельность на основании лицензии, имеющие высшее образование по направлению 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>Здравоохраниение и медицинские науки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-SA"/>
        </w:rPr>
        <w:t>б) п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едагогические работники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>организаций, осуществляющих в Камчатском крае педагогическую деятельность на основании лицензии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zh-CN"/>
        </w:rPr>
        <w:t>в) с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>пециалисты организаций, осуществляющих деятельность в сфере культуры, библиотечного дела и музеев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zh-CN"/>
        </w:rPr>
        <w:t>г) с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ru-RU"/>
        </w:rPr>
        <w:t>портсмены, тренеры и иные специалисты организаций, осуществляющих деятельность в сфере физической культуры и спорта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zh-CN"/>
        </w:rPr>
        <w:t>д) н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аучные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 xml:space="preserve"> работники научных организаций, научно-педагогические работники образовательных организаций высшего образования, а также научные работники иных организаций, осуществляющих научную и(или) научно-техническую деятельность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zh-CN"/>
        </w:rPr>
        <w:t>е) с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пециалисты предприятий и организаций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 xml:space="preserve"> агоропромышленного комплекса Камчатского края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zh-CN"/>
        </w:rPr>
        <w:t>ж) с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en-US" w:eastAsia="ru-RU"/>
        </w:rPr>
        <w:t>пециалисты судоремонтных предприятий Камчатского края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bidi w:val="0"/>
        <w:snapToGrid/>
        <w:spacing w:before="0" w:after="0" w:line="240" w:lineRule="auto"/>
        <w:ind w:left="11" w:leftChars="0" w:firstLine="868" w:firstLine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ru-RU" w:eastAsia="zh-CN"/>
        </w:rPr>
        <w:t xml:space="preserve">При рассмотрении вопроса о заключении договора субаренды с гражданами, указанными в пункте 4 части 5 настоящего Порядка, в первую очередь договор субаренды заключается с теми, кто имеет ходатайство от работодателя о предоставлении жилого помещения.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bidi w:val="0"/>
        <w:snapToGrid/>
        <w:spacing w:before="0" w:after="0" w:line="240" w:lineRule="auto"/>
        <w:ind w:left="11" w:leftChars="0" w:firstLine="868" w:firstLine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-SA"/>
        </w:rPr>
        <w:t xml:space="preserve">Право </w:t>
      </w: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-SA"/>
        </w:rPr>
        <w:t>заключения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-SA"/>
        </w:rPr>
        <w:t xml:space="preserve"> договора субаренды</w:t>
      </w: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-SA"/>
        </w:rPr>
        <w:t xml:space="preserve">в соответствии с настоящим Порядком имеют граждане при одновременном </w:t>
      </w: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-SA"/>
        </w:rPr>
        <w:t>выполнении</w:t>
      </w: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-SA"/>
        </w:rPr>
        <w:t xml:space="preserve"> следующих условий: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отсутствие у гражданина и членов его семьи иных жилых помещений </w:t>
      </w:r>
      <w:r>
        <w:rPr>
          <w:rFonts w:ascii="Times New Roman" w:hAnsi="Times New Roman" w:cs="Times New Roman"/>
          <w:sz w:val="28"/>
          <w:szCs w:val="28"/>
          <w:lang w:val="ru-RU"/>
        </w:rPr>
        <w:t>на праве собственности по месту нахождения жилого помещения, передаваемого в субаренду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несовершение в течение одного года, предшествующего дате </w:t>
      </w:r>
      <w:r>
        <w:rPr>
          <w:rFonts w:ascii="Times New Roman" w:hAnsi="Times New Roman" w:cs="Times New Roman"/>
          <w:sz w:val="28"/>
          <w:szCs w:val="28"/>
          <w:lang w:val="ru-RU"/>
        </w:rPr>
        <w:t>обращения в отраслевой орган</w:t>
      </w:r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повлекших</w:t>
      </w:r>
      <w:r>
        <w:rPr>
          <w:rFonts w:ascii="Times New Roman" w:hAnsi="Times New Roman" w:cs="Times New Roman"/>
          <w:sz w:val="28"/>
          <w:szCs w:val="28"/>
        </w:rPr>
        <w:t xml:space="preserve"> утрат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права собственности в отношении жилого помещения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месту нахождения жилого помещения, передаваемого в субаренду;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 для граждан установленных пунктом 4 части 5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 Общее количество жилых помещений, предоставляемых гражданам, указанным в пункте 1 части 5 настоящего Порядка, не может превышать 20 процентов от общего количества жилых помещений.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Для целей настоящего Порядка к членам семьи заявителя относятся его супруг(а), а также несовершеннолетние дети.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Списки претендентов формируются региональным оператором на основании документов, указанных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. В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ключение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в список претендентов осуществляется на основании следующих документов (информации):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1)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представляемых гражданином региональному оператору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) заявлен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 на жилое помещение, предоставляемое по договору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субаренды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документ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ов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, удостоверяющи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х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личность гражданина и членов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 xml:space="preserve">его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отнесение гражданина к соответствующей категории , определенной частью 5 настоящего Порядка;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г) ходатайство работодателя о предоставлении жилого помещения (при наличии);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(информации)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запрашиваемых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в порядке межведомственного информационного взаимодействия в органах государственной власти, органах местного самоуправления и 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и (или)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а) документа (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информации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) из Единого государственного реестра записей актов гражданского состояния в части актов гражданского состояния, подтверждающих состав семьи гражданина;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б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) документов (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информации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о наличии (отсутствии) у гражданина и членов его семьи зарегистрированных прав на жилые помещения;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Документы (информацию)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, указанные в пункте 2 части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 настоящего Порядка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гражданин вправе представить самостоятельно.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Документы, представленные гражданином в соответствии с частью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Порядка, регистрируются региональным оператором в день их поступления.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Региональный оператор в течение 2 рабочих дней после дня поступления документов, указанных в пункте 1 части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Порядка, направляет их в Министерство. Министерство в течение 5 рабочих дней со дня получения документов, направляет запросы в органы, указанные в пункте 2 части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Министерство в течение 5 рабочих дней с момента получения документов (информации), указанных в пункте 2 части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 направляет полученные документы (информацию) и документы, представленные региональным операторов в соответствии с частью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4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 настоящего Порядка в Комиссию по решению вопросов, связанных предоставлением на территории Камчатского края арендного жилья (далее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Комиссия).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 Комиссии включаются вице-губернатор Камчатского края, являющейся председателем Комиссии, заместитель Председателя Правительства Камчатского края, являющейся заместителем председателя Комиссии, представители исполнительных органов Камчатского края, представители Министерства строительства и жилищной политики Камчатского края и Министерства имущественных и земельных отношений Камчатского края, представитель регионального оператора, секретарь Комиссии. Состав Комиссии утверждается распоряжением Правительства Камчатского края.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Комиссии проводятся по мере необходимости, являются правомочными при участии в них не менее половины состава членов Комиссии. Решения Комиссией принимаются путем открытого голосования большинством голосов присутствующих на заседании членов Комиссии. Решения Комиссии оформляются протоколом.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Комиссия рассматривает документы (информацию), указанные в части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Порядка, в срок, не превышающий 15 рабочих дней со дня их регистрации региональным оператором и принимает </w:t>
      </w:r>
      <w:r>
        <w:rPr>
          <w:rFonts w:ascii="Times New Roman" w:hAnsi="Times New Roman" w:eastAsia="Times New Roman"/>
          <w:color w:val="auto"/>
          <w:sz w:val="28"/>
          <w:szCs w:val="24"/>
          <w:lang w:val="ru-RU"/>
        </w:rPr>
        <w:t>одно из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1) призна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гражданина претендентом на жилое помещение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включить в список претендентов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отказать в </w:t>
      </w:r>
      <w:r>
        <w:rPr>
          <w:rFonts w:ascii="Times New Roman" w:hAnsi="Times New Roman" w:cs="Times New Roman"/>
          <w:sz w:val="28"/>
          <w:szCs w:val="28"/>
        </w:rPr>
        <w:t>признании гражданина претендентом на жилое помещение.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принятия </w:t>
      </w:r>
      <w:r>
        <w:rPr>
          <w:rFonts w:ascii="Times New Roman" w:hAnsi="Times New Roman" w:cs="Times New Roman"/>
          <w:sz w:val="28"/>
          <w:szCs w:val="28"/>
          <w:lang w:val="ru-RU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 указанного в пункте 2 части пункта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гражданина категориям,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указанным в части 5 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2)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недостоверных сведений;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документов,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указанных в пункте 1 части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настоящего Порядка, либо их представление </w:t>
      </w:r>
      <w:r>
        <w:rPr>
          <w:rFonts w:ascii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5)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свидетельствующ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его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об отсутствии документа (информации), необходим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ого (необходимой) (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если соответствующий документ (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информация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) не представлены гражданином по собственной инициативе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Министерство в течение 5 дней со дня подписания протокола Комиссии направляет региональному оператору данный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протокол и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документы (информацию), полученные в соответствии с частью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4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Порядка. Региональный оператор обеспечивает надлежащее хранение протоколов и документов, представленных гражданами и запрошенных в порядке межведомственного информационного взаимодействия в целях заключения договора субаренды в соответствии с настоящим Порядком.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в течение 5 дней со дня принятия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Комиссией решения, указанного в части 1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8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настоящего Порядка, готовит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о принятом решении и в течение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3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дней со дня подписания направляет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его в адрес гражданина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почтов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ым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отправлени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ем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либо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вручает гражданину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лично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случае принятия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решения, указанного в пункте 2 части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уведомление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содержать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разъяснени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я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о причинах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такого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решения и поряд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ок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его обжалования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Повторное обращение гражданина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признания его п</w:t>
      </w:r>
      <w:r>
        <w:rPr>
          <w:rFonts w:ascii="Times New Roman" w:hAnsi="Times New Roman" w:cs="Times New Roman"/>
          <w:sz w:val="28"/>
          <w:szCs w:val="28"/>
        </w:rPr>
        <w:t>ретендентом на жилое помещение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после устранения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обстоятельств, послуживших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ем для принятия решения, указанного в пункте 2 части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случае принятия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решения, указанного в пункте 1 части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региональный оператор в течение 5 дней со дня принятия такого решения включает гражданина в список претендентов.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Список претендент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хронологической последовательности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исходя из</w:t>
      </w:r>
      <w:r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гражданином документов,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пункте 1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исключения гражд</w:t>
      </w:r>
      <w:r>
        <w:rPr>
          <w:rFonts w:ascii="Times New Roman" w:hAnsi="Times New Roman" w:cs="Times New Roman"/>
          <w:sz w:val="28"/>
          <w:szCs w:val="28"/>
          <w:lang w:val="ru-RU"/>
        </w:rPr>
        <w:t>анина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писка претендентов явля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предоставление жилого помещения по </w:t>
      </w:r>
      <w:r>
        <w:rPr>
          <w:rFonts w:ascii="Times New Roman" w:hAnsi="Times New Roman" w:cs="Times New Roman"/>
          <w:sz w:val="28"/>
          <w:szCs w:val="28"/>
        </w:rPr>
        <w:t>договору субаренды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утрата гражданином оснований для предоставления жилого помещения;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подача гражданином заявления об исключении из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писка претендентов;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отказ гражданина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предоставленного жилого помещения </w:t>
      </w:r>
      <w:r>
        <w:rPr>
          <w:rFonts w:ascii="Times New Roman" w:hAnsi="Times New Roman" w:cs="Times New Roman"/>
          <w:sz w:val="28"/>
          <w:szCs w:val="28"/>
        </w:rPr>
        <w:t>по договору субаренды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Ответственность за достоверность сведений при формировании списка претендентов несет региональный оператор в соответствии с действующим законодательством Российской Федерации.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 Жилые помещения предоставляются гражданам в порядке очередности, исходя из даты предоставления документов, указанных в пункте 1 части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с учетом приоритетности категорий, указанных в части 5 настоящего Порядка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положений части 6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наличии жилых помещений, подлежащих передаче по договору субаренды, </w:t>
      </w:r>
      <w:r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 в Министерство предложения о заселении жилых помещений 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договору субаренды по форме согласно приложению 3 к настоящему Порядку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основании которых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в течение 3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издает приказ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жилых помещений по </w:t>
      </w: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субаренды </w:t>
      </w:r>
      <w:r>
        <w:rPr>
          <w:rFonts w:ascii="Times New Roman" w:hAnsi="Times New Roman" w:cs="Times New Roman"/>
          <w:sz w:val="28"/>
          <w:szCs w:val="28"/>
        </w:rPr>
        <w:t>и в течение 3 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подписания направляет его копию региональному оператору.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>. Приказ указанный в части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 является основанием для заключения договора субаренды.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письменного согласия гражданина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по его просьбе гражданину может быть предоставлено жилое помещение, </w:t>
      </w: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может быть более (менее) пятнадцати квадратных метров на одного человека.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Гражданин, которому предоставлено жилое помещение по договору субаренды, принимает на себя обязательства:</w:t>
      </w:r>
    </w:p>
    <w:p>
      <w:pPr>
        <w:pStyle w:val="63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незамедлительно </w:t>
      </w:r>
      <w:r>
        <w:rPr>
          <w:rFonts w:ascii="Times New Roman" w:hAnsi="Times New Roman" w:cs="Times New Roman"/>
          <w:sz w:val="28"/>
          <w:szCs w:val="28"/>
        </w:rPr>
        <w:t>сообщать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региональному оператору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прекращении трудовых отношений с учреждением, организацией, предприятием, работа в которых послужила основанием для возникновения права на жилое помещение, изменении состава семьи, иных фактах, имеющих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>
      <w:pPr>
        <w:pStyle w:val="63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освободить </w:t>
      </w:r>
      <w:r>
        <w:rPr>
          <w:rFonts w:ascii="Times New Roman" w:hAnsi="Times New Roman" w:cs="Times New Roman"/>
          <w:sz w:val="28"/>
          <w:szCs w:val="28"/>
          <w:lang w:val="ru-RU"/>
        </w:rPr>
        <w:t>не позднее дня прекращения трудовых отношений с учреждением, организацией, предприятием, работа в которых послужила основанием для возникновения права на жилое помещение;</w:t>
      </w:r>
    </w:p>
    <w:p>
      <w:pPr>
        <w:pStyle w:val="63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возместить расходы, связанные с пользованием жилым помещением (коммунальные платежи, арендную плату), за весь период со дня утраты права на ж</w:t>
      </w:r>
      <w:r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е помещени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его фактического освобождения;</w:t>
      </w:r>
    </w:p>
    <w:p>
      <w:pPr>
        <w:pStyle w:val="63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не позднее чем за 15 дней сообщить региональному оператору о намерении расторгнуть договор субаренды.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Обязательства, предусмотренные частью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включаются в договор субаренды в качестве обязательных условий.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11" w:firstLine="86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  <w:sectPr>
          <w:headerReference r:id="rId5" w:type="default"/>
          <w:pgSz w:w="11906" w:h="16838"/>
          <w:pgMar w:top="1739" w:right="851" w:bottom="1134" w:left="1418" w:header="1134" w:footer="0" w:gutter="0"/>
          <w:pgNumType w:fmt="decimal"/>
          <w:cols w:space="720" w:num="1"/>
          <w:formProt w:val="0"/>
          <w:docGrid w:linePitch="100" w:charSpace="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Заключение, р</w:t>
      </w:r>
      <w:r>
        <w:rPr>
          <w:rFonts w:ascii="Times New Roman" w:hAnsi="Times New Roman" w:cs="Times New Roman"/>
          <w:sz w:val="28"/>
          <w:szCs w:val="28"/>
        </w:rPr>
        <w:t>асторжение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внесение изменений, </w:t>
      </w:r>
      <w:r>
        <w:rPr>
          <w:rFonts w:ascii="Times New Roman" w:hAnsi="Times New Roman" w:cs="Times New Roman"/>
          <w:sz w:val="28"/>
          <w:szCs w:val="28"/>
        </w:rPr>
        <w:t xml:space="preserve">прекращение договора </w:t>
      </w:r>
      <w:r>
        <w:rPr>
          <w:rFonts w:ascii="Times New Roman" w:hAnsi="Times New Roman" w:cs="Times New Roman"/>
          <w:sz w:val="28"/>
          <w:szCs w:val="28"/>
          <w:lang w:val="ru-RU"/>
        </w:rPr>
        <w:t>субаренды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Гражданским кодексом Российской Федерации.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br w:type="page"/>
      </w:r>
    </w:p>
    <w:tbl>
      <w:tblPr>
        <w:tblStyle w:val="29"/>
        <w:tblW w:w="101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80"/>
        <w:gridCol w:w="481"/>
        <w:gridCol w:w="3783"/>
        <w:gridCol w:w="4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160" w:line="240" w:lineRule="auto"/>
              <w:jc w:val="left"/>
              <w:rPr>
                <w:rFonts w:ascii="Times New Roman" w:hAnsi="Times New Roman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 xml:space="preserve">Порядку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предоставления арендного жилья на территории Камчатского края</w:t>
            </w:r>
          </w:p>
        </w:tc>
      </w:tr>
    </w:tbl>
    <w:tbl>
      <w:tblPr>
        <w:tblStyle w:val="8"/>
        <w:tblpPr w:leftFromText="180" w:rightFromText="180" w:vertAnchor="text" w:horzAnchor="page" w:tblpX="1315" w:tblpY="303"/>
        <w:tblOverlap w:val="never"/>
        <w:tblW w:w="1012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5178" w:type="dxa"/>
          </w:tcPr>
          <w:p>
            <w:pPr>
              <w:keepNext w:val="0"/>
              <w:keepLines w:val="0"/>
              <w:widowControl w:val="0"/>
              <w:overflowPunct/>
              <w:bidi w:val="0"/>
              <w:snapToGrid/>
              <w:spacing w:before="0" w:after="0" w:line="240" w:lineRule="auto"/>
              <w:jc w:val="right"/>
              <w:textAlignment w:val="auto"/>
              <w:rPr>
                <w:rStyle w:val="55"/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4943" w:type="dxa"/>
          </w:tcPr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/>
              </w:rPr>
              <w:t>_________________________________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_________________________________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от гражданина(ки)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_________________________________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_________________________________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проживающего(ей) по адресу: __________________________________________________________________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тел.</w:t>
            </w:r>
            <w:r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_____________________________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СНИЛС __________________________</w:t>
            </w:r>
          </w:p>
          <w:p>
            <w:pPr>
              <w:keepNext w:val="0"/>
              <w:keepLines w:val="0"/>
              <w:widowControl w:val="0"/>
              <w:tabs>
                <w:tab w:val="center" w:pos="4153"/>
                <w:tab w:val="right" w:pos="8306"/>
              </w:tabs>
              <w:overflowPunct/>
              <w:bidi w:val="0"/>
              <w:snapToGrid/>
              <w:spacing w:before="0" w:after="0" w:line="240" w:lineRule="auto"/>
              <w:ind w:left="45"/>
              <w:jc w:val="left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mail _____________________________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both"/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</w:pPr>
    </w:p>
    <w:p>
      <w:pPr>
        <w:keepNext w:val="0"/>
        <w:keepLines w:val="0"/>
        <w:pageBreakBefore w:val="0"/>
        <w:widowControl w:val="0"/>
        <w:bidi w:val="0"/>
        <w:snapToGrid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ЗАЯВЛЕНИЕ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меня, 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540"/>
        <w:jc w:val="center"/>
        <w:rPr>
          <w:rFonts w:ascii="Times New Roman" w:hAnsi="Times New Roman" w:cs="Times New Roman"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(Ф.И.О. (при наличии)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паспорт _______ № ___________, выданный «______»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_____г.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114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номер)                                                            (дата выдачи)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1144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документ)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1144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претендентом на жилое помещение, предоставляемое по договору субаренды, и включить в список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претендующих на жил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  <w:lang w:val="ru-RU"/>
        </w:rPr>
        <w:t>я на условиях договора субаренды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>Список претендентов).</w:t>
      </w:r>
    </w:p>
    <w:p>
      <w:pPr>
        <w:keepNext w:val="0"/>
        <w:keepLines w:val="0"/>
        <w:pageBreakBefore w:val="0"/>
        <w:widowControl w:val="0"/>
        <w:bidi w:val="0"/>
        <w:snapToGrid/>
        <w:spacing w:before="0"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Состав семьи заявителя (с указанием ФИО (при наличии), даты рождения и отношения к заявителю)</w:t>
      </w:r>
    </w:p>
    <w:tbl>
      <w:tblPr>
        <w:tblStyle w:val="29"/>
        <w:tblW w:w="99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9436" w:type="dxa"/>
            <w:tcBorders>
              <w:top w:val="nil"/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9436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9436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9436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bidi w:val="0"/>
        <w:snapToGrid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bidi w:val="0"/>
        <w:snapToGrid/>
        <w:spacing w:before="0"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С заявлением представляю следующие документы:</w:t>
      </w:r>
    </w:p>
    <w:tbl>
      <w:tblPr>
        <w:tblStyle w:val="29"/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9419" w:type="dxa"/>
            <w:tcBorders>
              <w:top w:val="nil"/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9419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9419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9419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9419" w:type="dxa"/>
            <w:tcBorders>
              <w:left w:val="nil"/>
              <w:right w:val="nil"/>
            </w:tcBorders>
          </w:tcPr>
          <w:p>
            <w:pPr>
              <w:pStyle w:val="63"/>
              <w:keepNext w:val="0"/>
              <w:keepLines w:val="0"/>
              <w:widowControl w:val="0"/>
              <w:suppressAutoHyphens/>
              <w:bidi w:val="0"/>
              <w:snapToGrid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pPr>
          </w:p>
        </w:tc>
      </w:tr>
    </w:tbl>
    <w:p>
      <w:pPr>
        <w:pStyle w:val="63"/>
        <w:keepNext w:val="0"/>
        <w:keepLines w:val="0"/>
        <w:pageBreakBefore w:val="0"/>
        <w:widowControl w:val="0"/>
        <w:bidi w:val="0"/>
        <w:snapToGrid/>
        <w:ind w:firstLine="65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Я и члены моей семьи обязуемся:</w:t>
      </w:r>
    </w:p>
    <w:p>
      <w:pPr>
        <w:pStyle w:val="63"/>
        <w:keepNext w:val="0"/>
        <w:keepLines w:val="0"/>
        <w:pageBreakBefore w:val="0"/>
        <w:widowControl w:val="0"/>
        <w:numPr>
          <w:ilvl w:val="0"/>
          <w:numId w:val="6"/>
        </w:numPr>
        <w:bidi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течение 3 дней со дня наступления события сообщать об изменении фактов, имеющих значение для принятия решения о предоставлении жилого помещения по договору субаренды.</w:t>
      </w:r>
    </w:p>
    <w:p>
      <w:pPr>
        <w:pStyle w:val="63"/>
        <w:keepNext w:val="0"/>
        <w:keepLines w:val="0"/>
        <w:pageBreakBefore w:val="0"/>
        <w:widowControl w:val="0"/>
        <w:numPr>
          <w:ilvl w:val="0"/>
          <w:numId w:val="6"/>
        </w:numPr>
        <w:bidi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заведомо ложные сведения, указанные в заявлении, влекут отказ в признании меня претендентом на жилое помещение, предоставляемое по договору субаренды, и во включении в Список претендентов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  <w:lang w:eastAsia="zh-CN"/>
        </w:rPr>
      </w:pPr>
    </w:p>
    <w:tbl>
      <w:tblPr>
        <w:tblStyle w:val="8"/>
        <w:tblW w:w="99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0"/>
        <w:gridCol w:w="279"/>
        <w:gridCol w:w="2269"/>
        <w:gridCol w:w="288"/>
        <w:gridCol w:w="232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9" w:type="dxa"/>
            <w:vAlign w:val="bottom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9" w:type="dxa"/>
            <w:tcBorders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8" w:type="dxa"/>
            <w:vAlign w:val="bottom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tcBorders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right="284"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(ф.и.о. (при наличии) заявителя)</w:t>
            </w:r>
          </w:p>
        </w:tc>
        <w:tc>
          <w:tcPr>
            <w:tcW w:w="279" w:type="dxa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(подпись)</w:t>
            </w:r>
          </w:p>
        </w:tc>
        <w:tc>
          <w:tcPr>
            <w:tcW w:w="288" w:type="dxa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firstLine="709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widowControl w:val="0"/>
              <w:bidi w:val="0"/>
              <w:snapToGrid/>
              <w:spacing w:before="0" w:after="16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(дата)</w:t>
            </w:r>
          </w:p>
        </w:tc>
      </w:tr>
    </w:tbl>
    <w:p>
      <w:pPr>
        <w:pStyle w:val="63"/>
        <w:keepNext w:val="0"/>
        <w:keepLines w:val="0"/>
        <w:pageBreakBefore w:val="0"/>
        <w:widowControl w:val="0"/>
        <w:bidi w:val="0"/>
        <w:snapToGrid/>
        <w:ind w:firstLine="658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658"/>
        <w:jc w:val="both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 целях признания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претендентом на жилое помещение, предоставляемое по договору субаренды.</w:t>
      </w:r>
    </w:p>
    <w:tbl>
      <w:tblPr>
        <w:tblStyle w:val="8"/>
        <w:tblpPr w:leftFromText="180" w:rightFromText="180" w:vertAnchor="text" w:horzAnchor="page" w:tblpX="1370" w:tblpY="316"/>
        <w:tblW w:w="999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5"/>
        <w:gridCol w:w="289"/>
        <w:gridCol w:w="2263"/>
        <w:gridCol w:w="284"/>
        <w:gridCol w:w="23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" w:type="dxa"/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4" w:type="dxa"/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(ф.и.о. (при наличии) заявителя)</w:t>
            </w:r>
          </w:p>
        </w:tc>
        <w:tc>
          <w:tcPr>
            <w:tcW w:w="289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89" w:type="dxa"/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(ф.и.о. (при наличии) члена семьи заявителя)</w:t>
            </w:r>
          </w:p>
        </w:tc>
        <w:tc>
          <w:tcPr>
            <w:tcW w:w="289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89" w:type="dxa"/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  <w:vAlign w:val="bottom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(ф.и.о. (при наличии) члена семьи заявителя)</w:t>
            </w:r>
          </w:p>
        </w:tc>
        <w:tc>
          <w:tcPr>
            <w:tcW w:w="289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89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top w:val="single" w:color="000000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(ф.и.о. (при наличии) члена семьи заявителя)</w:t>
            </w:r>
          </w:p>
        </w:tc>
        <w:tc>
          <w:tcPr>
            <w:tcW w:w="289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left="439" w:hanging="43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bidi w:val="0"/>
              <w:snapToGrid/>
              <w:spacing w:before="0" w:after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(дата)</w:t>
            </w:r>
          </w:p>
        </w:tc>
      </w:tr>
    </w:tbl>
    <w:p>
      <w:pPr>
        <w:pStyle w:val="63"/>
        <w:keepNext w:val="0"/>
        <w:keepLines w:val="0"/>
        <w:pageBreakBefore w:val="0"/>
        <w:widowControl w:val="0"/>
        <w:bidi w:val="0"/>
        <w:snapToGrid/>
        <w:ind w:lef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63"/>
        <w:keepNext w:val="0"/>
        <w:keepLines w:val="0"/>
        <w:pageBreakBefore w:val="0"/>
        <w:widowControl w:val="0"/>
        <w:bidi w:val="0"/>
        <w:snapToGrid/>
        <w:jc w:val="both"/>
        <w:rPr>
          <w:rFonts w:ascii="Times New Roman" w:hAnsi="Times New Roman" w:cs="Times New Roman"/>
          <w:b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63"/>
        <w:keepNext w:val="0"/>
        <w:keepLines w:val="0"/>
        <w:pageBreakBefore w:val="0"/>
        <w:widowControl w:val="0"/>
        <w:bidi w:val="0"/>
        <w:snapToGrid/>
        <w:ind w:firstLine="0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r:id="rId7" w:type="first"/>
          <w:headerReference r:id="rId6" w:type="default"/>
          <w:pgSz w:w="11906" w:h="16838"/>
          <w:pgMar w:top="2045" w:right="646" w:bottom="1440" w:left="1360" w:header="1440" w:footer="0" w:gutter="0"/>
          <w:pgNumType w:fmt="decimal"/>
          <w:cols w:space="720" w:num="1"/>
          <w:formProt w:val="0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________________________ 20_____ г. </w:t>
      </w:r>
      <w:r>
        <w:br w:type="page"/>
      </w:r>
    </w:p>
    <w:tbl>
      <w:tblPr>
        <w:tblStyle w:val="29"/>
        <w:tblW w:w="9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80"/>
        <w:gridCol w:w="481"/>
        <w:gridCol w:w="3837"/>
        <w:gridCol w:w="4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160" w:line="240" w:lineRule="auto"/>
              <w:jc w:val="left"/>
              <w:rPr>
                <w:rFonts w:ascii="Times New Roman" w:hAnsi="Times New Roman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 xml:space="preserve">Порядку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предоставления арендного жилья на территории Камчатского края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500" w:firstLine="658"/>
        <w:jc w:val="center"/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500" w:firstLine="658"/>
        <w:jc w:val="center"/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УТВЕРЖДАЮ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right"/>
        <w:rPr>
          <w:rFonts w:ascii="Times New Roman" w:hAnsi="Times New Roman" w:cs="Times New Roman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 w:eastAsia="ru-RU"/>
        </w:rPr>
        <w:t>Наименование должности лица, утверждающего документ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 w:eastAsia="ru-RU"/>
        </w:rPr>
        <w:t>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 w:eastAsia="ru-RU"/>
        </w:rPr>
        <w:t>Подпись И.О. (при наличии) Фамилия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 w:eastAsia="ru-RU"/>
        </w:rPr>
        <w:t>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bidi w:val="0"/>
        <w:snapToGrid/>
        <w:spacing w:before="0" w:after="0" w:line="240" w:lineRule="auto"/>
        <w:ind w:left="5720" w:firstLine="0"/>
        <w:jc w:val="center"/>
        <w:rPr>
          <w:rFonts w:ascii="Times New Roman" w:hAnsi="Times New Roman" w:cs="Times New Roman"/>
          <w:sz w:val="20"/>
          <w:szCs w:val="20"/>
          <w:highlight w:val="none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 w:eastAsia="ru-RU"/>
        </w:rPr>
        <w:t>Дата утверждения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both"/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</w:pPr>
    </w:p>
    <w:p>
      <w:pPr>
        <w:keepNext w:val="0"/>
        <w:keepLines w:val="0"/>
        <w:pageBreakBefore w:val="0"/>
        <w:widowControl w:val="0"/>
        <w:bidi w:val="0"/>
        <w:snapToGrid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Список граждан </w:t>
      </w:r>
    </w:p>
    <w:p>
      <w:pPr>
        <w:keepNext w:val="0"/>
        <w:keepLines w:val="0"/>
        <w:pageBreakBefore w:val="0"/>
        <w:widowControl w:val="0"/>
        <w:bidi w:val="0"/>
        <w:snapToGrid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претендующих на жилые помещения, предоставляемые по договору субаренды ___________________________________________________________________</w:t>
      </w:r>
    </w:p>
    <w:p>
      <w:pPr>
        <w:keepNext w:val="0"/>
        <w:keepLines w:val="0"/>
        <w:pageBreakBefore w:val="0"/>
        <w:widowControl w:val="0"/>
        <w:bidi w:val="0"/>
        <w:snapToGrid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(наименование ответственного за формирование потребности в жилых помещениях)</w:t>
      </w:r>
    </w:p>
    <w:tbl>
      <w:tblPr>
        <w:tblStyle w:val="29"/>
        <w:tblpPr w:leftFromText="180" w:rightFromText="180" w:vertAnchor="text" w:horzAnchor="page" w:tblpX="1425" w:tblpY="319"/>
        <w:tblW w:w="100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215"/>
        <w:gridCol w:w="1147"/>
        <w:gridCol w:w="1112"/>
        <w:gridCol w:w="875"/>
        <w:gridCol w:w="2704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restart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№ п/п</w:t>
            </w:r>
          </w:p>
        </w:tc>
        <w:tc>
          <w:tcPr>
            <w:tcW w:w="2215" w:type="dxa"/>
            <w:vMerge w:val="restart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и время представления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 документов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 включение в список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граждан, претендующих на жилые помещения, предоставляемые по договору субаренды</w:t>
            </w:r>
          </w:p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Данные о гражданине</w:t>
            </w:r>
          </w:p>
        </w:tc>
        <w:tc>
          <w:tcPr>
            <w:tcW w:w="2704" w:type="dxa"/>
            <w:vMerge w:val="restart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Категория</w:t>
            </w:r>
            <w:r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 xml:space="preserve"> в соответствии с частью 5 Порядка</w:t>
            </w:r>
          </w:p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Наличие приоритета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, первоочередного права </w:t>
            </w:r>
          </w:p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 xml:space="preserve">(1, 2, 3, </w:t>
            </w:r>
            <w:r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 xml:space="preserve">4, </w:t>
            </w: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нет)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continue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1112" w:type="dxa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Число месяц год рождения</w:t>
            </w:r>
          </w:p>
        </w:tc>
        <w:tc>
          <w:tcPr>
            <w:tcW w:w="875" w:type="dxa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Количество членов семьи (чел.)</w:t>
            </w:r>
          </w:p>
        </w:tc>
        <w:tc>
          <w:tcPr>
            <w:tcW w:w="2704" w:type="dxa"/>
            <w:vMerge w:val="continue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jc w:val="center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  <w:t>1.</w:t>
            </w:r>
          </w:p>
        </w:tc>
        <w:tc>
          <w:tcPr>
            <w:tcW w:w="221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4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  <w:t>2.</w:t>
            </w:r>
          </w:p>
        </w:tc>
        <w:tc>
          <w:tcPr>
            <w:tcW w:w="221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4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Style w:val="55"/>
                <w:rFonts w:hint="default"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  <w:t>...</w:t>
            </w:r>
          </w:p>
        </w:tc>
        <w:tc>
          <w:tcPr>
            <w:tcW w:w="221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4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</w:p>
        </w:tc>
        <w:tc>
          <w:tcPr>
            <w:tcW w:w="1395" w:type="dxa"/>
          </w:tcPr>
          <w:p>
            <w:pPr>
              <w:pStyle w:val="65"/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rPr>
                <w:rStyle w:val="55"/>
                <w:rFonts w:ascii="Times New Roman" w:hAnsi="Times New Roman" w:eastAsia="SimSun" w:cs="Times New Roman"/>
                <w:b w:val="0"/>
                <w:bCs w:val="0"/>
                <w:positio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both"/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  <w:sectPr>
          <w:headerReference r:id="rId9" w:type="first"/>
          <w:headerReference r:id="rId8" w:type="default"/>
          <w:pgSz w:w="11906" w:h="16838"/>
          <w:pgMar w:top="2045" w:right="646" w:bottom="1440" w:left="1800" w:header="1440" w:footer="0" w:gutter="0"/>
          <w:pgNumType w:fmt="decimal"/>
          <w:cols w:space="720" w:num="1"/>
          <w:formProt w:val="0"/>
          <w:docGrid w:linePitch="360" w:charSpace="0"/>
        </w:sectPr>
      </w:pPr>
    </w:p>
    <w:tbl>
      <w:tblPr>
        <w:tblStyle w:val="29"/>
        <w:tblW w:w="9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61"/>
        <w:gridCol w:w="663"/>
        <w:gridCol w:w="3077"/>
        <w:gridCol w:w="4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suppressAutoHyphens/>
              <w:bidi w:val="0"/>
              <w:snapToGrid/>
              <w:spacing w:before="0" w:after="160" w:line="240" w:lineRule="auto"/>
              <w:jc w:val="left"/>
              <w:rPr>
                <w:rFonts w:ascii="Times New Roman" w:hAnsi="Times New Roman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 xml:space="preserve">Порядку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предоставления арендного жилья на территории Камчатского края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both"/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 w:eastAsia="ru-RU"/>
        </w:rPr>
        <w:t>Предложения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 xml:space="preserve"> по заселению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жилых помещений, предоставляемых по договору субаренды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</w:pPr>
    </w:p>
    <w:tbl>
      <w:tblPr>
        <w:tblStyle w:val="29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98"/>
        <w:gridCol w:w="1631"/>
        <w:gridCol w:w="1030"/>
        <w:gridCol w:w="1762"/>
        <w:gridCol w:w="988"/>
        <w:gridCol w:w="924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№ п/п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Style w:val="55"/>
                <w:rFonts w:ascii="Times New Roman" w:hAnsi="Times New Roman" w:eastAsia="SimSun" w:cs="Times New Roman"/>
                <w:b w:val="0"/>
                <w:bCs w:val="0"/>
                <w:kern w:val="0"/>
                <w:position w:val="0"/>
                <w:sz w:val="22"/>
                <w:szCs w:val="22"/>
                <w:vertAlign w:val="baseline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Категория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в соответствии с частью 5 Порядка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Состав семьи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Адрес предоставляемого жилого помещения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Кол-во комнат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Общая площадь жилого помещения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ru-RU"/>
              </w:rPr>
              <w:t>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  <w:t>1.</w:t>
            </w: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  <w:t>2.</w:t>
            </w: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  <w:t>...</w:t>
            </w: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bidi w:val="0"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ru-RU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bidi w:val="0"/>
        <w:snapToGrid/>
        <w:spacing w:before="0" w:after="0" w:line="240" w:lineRule="auto"/>
        <w:ind w:left="0" w:firstLine="658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</w:pPr>
    </w:p>
    <w:sectPr>
      <w:pgSz w:w="11906" w:h="16838"/>
      <w:pgMar w:top="2045" w:right="646" w:bottom="1440" w:left="1800" w:header="144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/>
        <w:sz w:val="28"/>
        <w:szCs w:val="28"/>
      </w:rPr>
    </w:pPr>
    <w:bookmarkStart w:id="2" w:name="PageNumWizard_HEADER_Базовый2"/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/>
        <w:sz w:val="28"/>
        <w:szCs w:val="28"/>
      </w:rPr>
    </w:pPr>
    <w:bookmarkStart w:id="3" w:name="PageNumWizard_HEADER_Converted18"/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/>
        <w:sz w:val="28"/>
        <w:szCs w:val="28"/>
      </w:rPr>
    </w:pPr>
    <w:bookmarkStart w:id="4" w:name="PageNumWizard_HEADER_Converted210"/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bookmarkEnd w:id="4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71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461C800A"/>
    <w:multiLevelType w:val="singleLevel"/>
    <w:tmpl w:val="461C800A"/>
    <w:lvl w:ilvl="0" w:tentative="0">
      <w:start w:val="12"/>
      <w:numFmt w:val="decimal"/>
      <w:suff w:val="space"/>
      <w:lvlText w:val="%1."/>
      <w:lvlJc w:val="left"/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F4E8B"/>
    <w:rsid w:val="0B34024A"/>
    <w:rsid w:val="265F1422"/>
    <w:rsid w:val="355C6FE8"/>
    <w:rsid w:val="3EFC1C74"/>
    <w:rsid w:val="4A8232F8"/>
    <w:rsid w:val="4D6315D5"/>
    <w:rsid w:val="62F36646"/>
    <w:rsid w:val="71EB5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64" w:lineRule="auto"/>
      <w:jc w:val="left"/>
    </w:pPr>
    <w:rPr>
      <w:rFonts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">
    <w:name w:val="heading 1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3">
    <w:name w:val="heading 2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4">
    <w:name w:val="heading 3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5">
    <w:name w:val="heading 4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6">
    <w:name w:val="heading 5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paragraph" w:styleId="10">
    <w:name w:val="Balloon Text"/>
    <w:basedOn w:val="1"/>
    <w:link w:val="52"/>
    <w:qFormat/>
    <w:uiPriority w:val="0"/>
    <w:pPr>
      <w:spacing w:before="0" w:after="0" w:line="240" w:lineRule="auto"/>
    </w:pPr>
    <w:rPr>
      <w:rFonts w:ascii="Segoe UI" w:hAnsi="Segoe UI"/>
      <w:sz w:val="18"/>
    </w:rPr>
  </w:style>
  <w:style w:type="paragraph" w:styleId="11">
    <w:name w:val="Plain Text"/>
    <w:basedOn w:val="1"/>
    <w:link w:val="37"/>
    <w:qFormat/>
    <w:uiPriority w:val="0"/>
    <w:pPr>
      <w:spacing w:before="0" w:after="0" w:line="240" w:lineRule="auto"/>
    </w:pPr>
    <w:rPr>
      <w:rFonts w:ascii="Calibri" w:hAnsi="Calibri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toc 8"/>
    <w:next w:val="1"/>
    <w:link w:val="47"/>
    <w:qFormat/>
    <w:uiPriority w:val="39"/>
    <w:pPr>
      <w:widowControl/>
      <w:suppressAutoHyphens/>
      <w:bidi w:val="0"/>
      <w:spacing w:before="0" w:after="160" w:line="264" w:lineRule="auto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>
    <w:name w:val="header"/>
    <w:basedOn w:val="1"/>
    <w:link w:val="33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5">
    <w:name w:val="toc 9"/>
    <w:next w:val="1"/>
    <w:link w:val="46"/>
    <w:qFormat/>
    <w:uiPriority w:val="39"/>
    <w:pPr>
      <w:widowControl/>
      <w:suppressAutoHyphens/>
      <w:bidi w:val="0"/>
      <w:spacing w:before="0" w:after="160" w:line="264" w:lineRule="auto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>
    <w:name w:val="toc 7"/>
    <w:next w:val="1"/>
    <w:link w:val="35"/>
    <w:qFormat/>
    <w:uiPriority w:val="39"/>
    <w:pPr>
      <w:widowControl/>
      <w:suppressAutoHyphens/>
      <w:bidi w:val="0"/>
      <w:spacing w:before="0" w:after="160" w:line="264" w:lineRule="auto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">
    <w:name w:val="Body Text"/>
    <w:basedOn w:val="1"/>
    <w:qFormat/>
    <w:uiPriority w:val="0"/>
    <w:pPr>
      <w:spacing w:before="0" w:after="140" w:line="276" w:lineRule="auto"/>
    </w:pPr>
  </w:style>
  <w:style w:type="paragraph" w:styleId="18">
    <w:name w:val="toc 1"/>
    <w:next w:val="1"/>
    <w:link w:val="43"/>
    <w:qFormat/>
    <w:uiPriority w:val="39"/>
    <w:pPr>
      <w:widowControl/>
      <w:suppressAutoHyphens/>
      <w:bidi w:val="0"/>
      <w:spacing w:before="0" w:after="160" w:line="264" w:lineRule="auto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9">
    <w:name w:val="toc 6"/>
    <w:next w:val="1"/>
    <w:link w:val="34"/>
    <w:qFormat/>
    <w:uiPriority w:val="39"/>
    <w:pPr>
      <w:widowControl/>
      <w:suppressAutoHyphens/>
      <w:bidi w:val="0"/>
      <w:spacing w:before="0" w:after="160" w:line="264" w:lineRule="auto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0">
    <w:name w:val="toc 3"/>
    <w:next w:val="1"/>
    <w:link w:val="38"/>
    <w:qFormat/>
    <w:uiPriority w:val="39"/>
    <w:pPr>
      <w:widowControl/>
      <w:suppressAutoHyphens/>
      <w:bidi w:val="0"/>
      <w:spacing w:before="0" w:after="160" w:line="264" w:lineRule="auto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widowControl/>
      <w:suppressAutoHyphens/>
      <w:bidi w:val="0"/>
      <w:spacing w:before="0" w:after="160" w:line="264" w:lineRule="auto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widowControl/>
      <w:suppressAutoHyphens/>
      <w:bidi w:val="0"/>
      <w:spacing w:before="0" w:after="160" w:line="264" w:lineRule="auto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3">
    <w:name w:val="toc 5"/>
    <w:next w:val="1"/>
    <w:link w:val="48"/>
    <w:qFormat/>
    <w:uiPriority w:val="39"/>
    <w:pPr>
      <w:widowControl/>
      <w:suppressAutoHyphens/>
      <w:bidi w:val="0"/>
      <w:spacing w:before="0" w:after="160" w:line="264" w:lineRule="auto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4">
    <w:name w:val="Title"/>
    <w:next w:val="1"/>
    <w:link w:val="51"/>
    <w:qFormat/>
    <w:uiPriority w:val="10"/>
    <w:pPr>
      <w:widowControl/>
      <w:suppressAutoHyphens/>
      <w:bidi w:val="0"/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25">
    <w:name w:val="footer"/>
    <w:basedOn w:val="1"/>
    <w:link w:val="50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/>
      <w:sz w:val="28"/>
    </w:rPr>
  </w:style>
  <w:style w:type="paragraph" w:styleId="26">
    <w:name w:val="List"/>
    <w:basedOn w:val="17"/>
    <w:qFormat/>
    <w:uiPriority w:val="0"/>
    <w:rPr>
      <w:rFonts w:cs="Arial"/>
    </w:rPr>
  </w:style>
  <w:style w:type="paragraph" w:styleId="27">
    <w:name w:val="Normal (Web)"/>
    <w:semiHidden/>
    <w:unhideWhenUsed/>
    <w:qFormat/>
    <w:uiPriority w:val="99"/>
    <w:pPr>
      <w:widowControl/>
      <w:suppressAutoHyphens/>
      <w:bidi w:val="0"/>
      <w:spacing w:beforeAutospacing="1" w:afterAutospacing="1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28">
    <w:name w:val="Subtitle"/>
    <w:next w:val="1"/>
    <w:link w:val="49"/>
    <w:qFormat/>
    <w:uiPriority w:val="11"/>
    <w:pPr>
      <w:widowControl/>
      <w:suppressAutoHyphens/>
      <w:bidi w:val="0"/>
      <w:spacing w:before="0" w:after="160" w:line="264" w:lineRule="auto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table" w:styleId="29">
    <w:name w:val="Table Grid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3">
    <w:name w:val="Верхний колонтитул Знак"/>
    <w:basedOn w:val="30"/>
    <w:link w:val="14"/>
    <w:qFormat/>
    <w:uiPriority w:val="0"/>
  </w:style>
  <w:style w:type="character" w:customStyle="1" w:styleId="34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5">
    <w:name w:val="Оглавление 7 Знак"/>
    <w:link w:val="16"/>
    <w:qFormat/>
    <w:uiPriority w:val="0"/>
    <w:rPr>
      <w:rFonts w:ascii="XO Thames" w:hAnsi="XO Thames"/>
      <w:sz w:val="28"/>
    </w:rPr>
  </w:style>
  <w:style w:type="character" w:customStyle="1" w:styleId="36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37">
    <w:name w:val="Текст Знак"/>
    <w:basedOn w:val="30"/>
    <w:link w:val="11"/>
    <w:qFormat/>
    <w:uiPriority w:val="0"/>
    <w:rPr>
      <w:rFonts w:ascii="Calibri" w:hAnsi="Calibri"/>
    </w:rPr>
  </w:style>
  <w:style w:type="character" w:customStyle="1" w:styleId="38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9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40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41">
    <w:name w:val="Footnote1"/>
    <w:link w:val="42"/>
    <w:qFormat/>
    <w:uiPriority w:val="0"/>
    <w:rPr>
      <w:rFonts w:ascii="XO Thames" w:hAnsi="XO Thames"/>
      <w:sz w:val="22"/>
    </w:rPr>
  </w:style>
  <w:style w:type="paragraph" w:customStyle="1" w:styleId="42">
    <w:name w:val="Footnote"/>
    <w:link w:val="41"/>
    <w:qFormat/>
    <w:uiPriority w:val="0"/>
    <w:pPr>
      <w:widowControl/>
      <w:suppressAutoHyphens/>
      <w:bidi w:val="0"/>
      <w:spacing w:before="0"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character" w:customStyle="1" w:styleId="43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character" w:customStyle="1" w:styleId="44">
    <w:name w:val="Header and Footer1"/>
    <w:link w:val="45"/>
    <w:qFormat/>
    <w:uiPriority w:val="0"/>
    <w:rPr>
      <w:rFonts w:ascii="XO Thames" w:hAnsi="XO Thames"/>
      <w:sz w:val="20"/>
    </w:rPr>
  </w:style>
  <w:style w:type="paragraph" w:customStyle="1" w:styleId="45">
    <w:name w:val="Колонтитул"/>
    <w:link w:val="44"/>
    <w:qFormat/>
    <w:uiPriority w:val="0"/>
    <w:pPr>
      <w:widowControl/>
      <w:suppressAutoHyphens/>
      <w:bidi w:val="0"/>
      <w:spacing w:before="0" w:after="160" w:line="240" w:lineRule="auto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character" w:customStyle="1" w:styleId="46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47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48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9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50">
    <w:name w:val="Нижний колонтитул Знак"/>
    <w:basedOn w:val="30"/>
    <w:link w:val="25"/>
    <w:qFormat/>
    <w:uiPriority w:val="0"/>
    <w:rPr>
      <w:rFonts w:ascii="Times New Roman" w:hAnsi="Times New Roman"/>
      <w:sz w:val="28"/>
    </w:rPr>
  </w:style>
  <w:style w:type="character" w:customStyle="1" w:styleId="51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2">
    <w:name w:val="Текст выноски Знак"/>
    <w:basedOn w:val="30"/>
    <w:link w:val="10"/>
    <w:qFormat/>
    <w:uiPriority w:val="0"/>
    <w:rPr>
      <w:rFonts w:ascii="Segoe UI" w:hAnsi="Segoe UI"/>
      <w:sz w:val="18"/>
    </w:rPr>
  </w:style>
  <w:style w:type="character" w:customStyle="1" w:styleId="53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54">
    <w:name w:val="Заголовок 2 Знак"/>
    <w:qFormat/>
    <w:uiPriority w:val="0"/>
    <w:rPr>
      <w:rFonts w:ascii="XO Thames" w:hAnsi="XO Thames"/>
      <w:b/>
      <w:sz w:val="28"/>
    </w:rPr>
  </w:style>
  <w:style w:type="character" w:customStyle="1" w:styleId="55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56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7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58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9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60">
    <w:name w:val="Гиперссылка1"/>
    <w:basedOn w:val="61"/>
    <w:qFormat/>
    <w:uiPriority w:val="0"/>
    <w:rPr>
      <w:color w:val="0563C1" w:themeColor="hyperlink"/>
      <w:u w:val="single"/>
    </w:rPr>
  </w:style>
  <w:style w:type="paragraph" w:customStyle="1" w:styleId="61">
    <w:name w:val="Основной шрифт абзаца1"/>
    <w:qFormat/>
    <w:uiPriority w:val="0"/>
    <w:pPr>
      <w:widowControl/>
      <w:suppressAutoHyphens/>
      <w:bidi w:val="0"/>
      <w:spacing w:before="0" w:after="160" w:line="264" w:lineRule="auto"/>
      <w:jc w:val="left"/>
    </w:pPr>
    <w:rPr>
      <w:rFonts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customStyle="1" w:styleId="62">
    <w:name w:val="Основной текст1"/>
    <w:basedOn w:val="1"/>
    <w:qFormat/>
    <w:uiPriority w:val="0"/>
    <w:pPr>
      <w:widowControl w:val="0"/>
      <w:shd w:val="clear" w:color="auto" w:fill="FFFFFF"/>
      <w:spacing w:before="0" w:after="140" w:line="240" w:lineRule="auto"/>
      <w:ind w:firstLine="400"/>
    </w:pPr>
    <w:rPr>
      <w:rFonts w:ascii="Arial" w:hAnsi="Arial" w:eastAsia="Arial" w:cs="Arial"/>
      <w:sz w:val="16"/>
      <w:szCs w:val="16"/>
    </w:rPr>
  </w:style>
  <w:style w:type="paragraph" w:customStyle="1" w:styleId="63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alibri" w:hAnsi="Calibri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64">
    <w:name w:val="List Paragraph"/>
    <w:basedOn w:val="1"/>
    <w:qFormat/>
    <w:uiPriority w:val="34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65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before="0"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paragraph" w:customStyle="1" w:styleId="66">
    <w:name w:val="Содержимое врезки"/>
    <w:basedOn w:val="1"/>
    <w:qFormat/>
    <w:uiPriority w:val="0"/>
  </w:style>
  <w:style w:type="table" w:customStyle="1" w:styleId="67">
    <w:name w:val="Сетка таблицы1"/>
    <w:qFormat/>
    <w:uiPriority w:val="0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Сетка таблицы2"/>
    <w:qFormat/>
    <w:uiPriority w:val="0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10</Pages>
  <Words>2191</Words>
  <Characters>16032</Characters>
  <Paragraphs>172</Paragraphs>
  <TotalTime>58</TotalTime>
  <ScaleCrop>false</ScaleCrop>
  <LinksUpToDate>false</LinksUpToDate>
  <CharactersWithSpaces>18176</CharactersWithSpaces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2024-04-11T13:06:00Z</dcterms:created>
  <dc:creator>konovaai</dc:creator>
  <cp:lastModifiedBy>KonovaAI</cp:lastModifiedBy>
  <dcterms:modified xsi:type="dcterms:W3CDTF">2024-05-31T01:17:09Z</dcterms:modified>
  <dc:title>Федеральный закон от 07.10.2022 N 377-ФЗ(ред. от 06.04.2024)"Об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D0AA31DAD3A1441AA29F35FF1CF3ED07_13</vt:lpwstr>
  </property>
  <property fmtid="{D5CDD505-2E9C-101B-9397-08002B2CF9AE}" pid="3" name="KSOProductBuildVer">
    <vt:lpwstr>1049-12.2.0.13359</vt:lpwstr>
  </property>
</Properties>
</file>